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7A" w:rsidRPr="004170B1" w:rsidRDefault="004F0A7A" w:rsidP="004170B1">
      <w:pPr>
        <w:jc w:val="center"/>
        <w:rPr>
          <w:rFonts w:ascii="Times New Roman" w:hAnsi="Times New Roman" w:cs="Times New Roman"/>
        </w:rPr>
      </w:pPr>
      <w:bookmarkStart w:id="0" w:name="_GoBack"/>
      <w:bookmarkEnd w:id="0"/>
    </w:p>
    <w:p w:rsidR="005E0B31" w:rsidRPr="004170B1" w:rsidRDefault="005E0B31" w:rsidP="004170B1">
      <w:pPr>
        <w:jc w:val="center"/>
        <w:rPr>
          <w:rFonts w:ascii="Times New Roman" w:hAnsi="Times New Roman" w:cs="Times New Roman"/>
        </w:rPr>
      </w:pPr>
    </w:p>
    <w:p w:rsidR="007A4070" w:rsidRPr="004170B1" w:rsidRDefault="007A4070" w:rsidP="004170B1">
      <w:pPr>
        <w:jc w:val="center"/>
      </w:pPr>
    </w:p>
    <w:p w:rsidR="007A4070" w:rsidRPr="004170B1" w:rsidRDefault="004F0A7A" w:rsidP="004170B1">
      <w:pPr>
        <w:pStyle w:val="DecHCase"/>
      </w:pPr>
      <w:r w:rsidRPr="004170B1">
        <w:t>PREMIÈRE SECTION</w:t>
      </w:r>
    </w:p>
    <w:p w:rsidR="007A4070" w:rsidRPr="004170B1" w:rsidRDefault="007A4070" w:rsidP="004170B1">
      <w:pPr>
        <w:pStyle w:val="JuTitle"/>
      </w:pPr>
      <w:r w:rsidRPr="004170B1">
        <w:t xml:space="preserve">AFFAIRE </w:t>
      </w:r>
      <w:r w:rsidR="004F0A7A" w:rsidRPr="004170B1">
        <w:t>MORZENTI c. ITALIE</w:t>
      </w:r>
    </w:p>
    <w:p w:rsidR="007A4070" w:rsidRPr="004170B1" w:rsidRDefault="007A4070" w:rsidP="004170B1">
      <w:pPr>
        <w:pStyle w:val="ECHRCoverTitle4"/>
      </w:pPr>
      <w:r w:rsidRPr="004170B1">
        <w:t>(</w:t>
      </w:r>
      <w:r w:rsidR="004F0A7A" w:rsidRPr="004170B1">
        <w:t>Requête n</w:t>
      </w:r>
      <w:r w:rsidR="004F0A7A" w:rsidRPr="004170B1">
        <w:rPr>
          <w:vertAlign w:val="superscript"/>
        </w:rPr>
        <w:t>o</w:t>
      </w:r>
      <w:r w:rsidRPr="004170B1">
        <w:t xml:space="preserve"> </w:t>
      </w:r>
      <w:r w:rsidR="004F0A7A" w:rsidRPr="004170B1">
        <w:t>67024/13</w:t>
      </w:r>
      <w:r w:rsidRPr="004170B1">
        <w:t>)</w:t>
      </w:r>
    </w:p>
    <w:p w:rsidR="007A4070" w:rsidRPr="004170B1" w:rsidRDefault="007A4070" w:rsidP="004170B1">
      <w:pPr>
        <w:pStyle w:val="DecHCase"/>
      </w:pPr>
    </w:p>
    <w:p w:rsidR="007A4070" w:rsidRPr="004170B1" w:rsidRDefault="007A4070" w:rsidP="004170B1">
      <w:pPr>
        <w:pStyle w:val="DecHCase"/>
      </w:pPr>
    </w:p>
    <w:p w:rsidR="007A4070" w:rsidRPr="004170B1" w:rsidRDefault="007A4070" w:rsidP="004170B1">
      <w:pPr>
        <w:pStyle w:val="DecHCase"/>
      </w:pPr>
    </w:p>
    <w:p w:rsidR="007A4070" w:rsidRPr="004170B1" w:rsidRDefault="007A4070" w:rsidP="004170B1">
      <w:pPr>
        <w:pStyle w:val="DecHCase"/>
      </w:pPr>
    </w:p>
    <w:p w:rsidR="007A4070" w:rsidRPr="004170B1" w:rsidRDefault="007A4070" w:rsidP="004170B1">
      <w:pPr>
        <w:pStyle w:val="DecHCase"/>
      </w:pPr>
    </w:p>
    <w:p w:rsidR="007A4070" w:rsidRPr="004170B1" w:rsidRDefault="007A4070" w:rsidP="004170B1">
      <w:pPr>
        <w:pStyle w:val="DecHCase"/>
      </w:pPr>
    </w:p>
    <w:p w:rsidR="006653D1" w:rsidRPr="004170B1" w:rsidRDefault="007A4070" w:rsidP="004170B1">
      <w:pPr>
        <w:pStyle w:val="DecHCase"/>
      </w:pPr>
      <w:r w:rsidRPr="004170B1">
        <w:t>ARRÊT</w:t>
      </w:r>
      <w:r w:rsidRPr="004170B1">
        <w:br/>
      </w:r>
    </w:p>
    <w:p w:rsidR="006653D1" w:rsidRPr="004170B1" w:rsidRDefault="006653D1" w:rsidP="004170B1">
      <w:pPr>
        <w:pStyle w:val="DecHCase"/>
      </w:pPr>
    </w:p>
    <w:p w:rsidR="006653D1" w:rsidRPr="004170B1" w:rsidRDefault="006653D1" w:rsidP="004170B1">
      <w:pPr>
        <w:pStyle w:val="DecHCase"/>
      </w:pPr>
    </w:p>
    <w:p w:rsidR="007A4070" w:rsidRPr="004170B1" w:rsidRDefault="007A4070" w:rsidP="004170B1">
      <w:pPr>
        <w:pStyle w:val="DecHCase"/>
      </w:pPr>
    </w:p>
    <w:p w:rsidR="007A4070" w:rsidRPr="004170B1" w:rsidRDefault="007A4070" w:rsidP="004170B1">
      <w:pPr>
        <w:pStyle w:val="DecHCase"/>
      </w:pPr>
      <w:r w:rsidRPr="004170B1">
        <w:t>STRASBOURG</w:t>
      </w:r>
    </w:p>
    <w:p w:rsidR="007A4070" w:rsidRPr="004170B1" w:rsidRDefault="004F0A7A" w:rsidP="004170B1">
      <w:pPr>
        <w:pStyle w:val="DecHCase"/>
      </w:pPr>
      <w:r w:rsidRPr="004170B1">
        <w:t>17 juin 2021</w:t>
      </w:r>
    </w:p>
    <w:p w:rsidR="00516B59" w:rsidRPr="004170B1" w:rsidRDefault="007A4070" w:rsidP="004170B1">
      <w:pPr>
        <w:rPr>
          <w:rFonts w:ascii="Times New Roman" w:hAnsi="Times New Roman" w:cs="Times New Roman"/>
          <w:i/>
          <w:sz w:val="22"/>
        </w:rPr>
      </w:pPr>
      <w:r w:rsidRPr="004170B1">
        <w:rPr>
          <w:i/>
          <w:sz w:val="22"/>
        </w:rPr>
        <w:t xml:space="preserve">Cet arrêt </w:t>
      </w:r>
      <w:r w:rsidR="004F0A7A" w:rsidRPr="004170B1">
        <w:rPr>
          <w:i/>
          <w:sz w:val="22"/>
        </w:rPr>
        <w:t>est définitif</w:t>
      </w:r>
      <w:r w:rsidRPr="004170B1">
        <w:rPr>
          <w:i/>
          <w:sz w:val="22"/>
        </w:rPr>
        <w:t>. Il peut subir des retouches de fo</w:t>
      </w:r>
      <w:r w:rsidR="00516B59" w:rsidRPr="004170B1">
        <w:rPr>
          <w:rFonts w:ascii="Times New Roman" w:hAnsi="Times New Roman" w:cs="Times New Roman"/>
          <w:i/>
          <w:sz w:val="22"/>
        </w:rPr>
        <w:t>rme.</w:t>
      </w:r>
    </w:p>
    <w:p w:rsidR="00516B59" w:rsidRPr="004170B1" w:rsidRDefault="00516B59" w:rsidP="004170B1">
      <w:pPr>
        <w:ind w:left="720"/>
        <w:rPr>
          <w:rFonts w:ascii="Times New Roman" w:hAnsi="Times New Roman" w:cs="Times New Roman"/>
          <w:sz w:val="22"/>
        </w:rPr>
        <w:sectPr w:rsidR="00516B59" w:rsidRPr="004170B1"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4170B1" w:rsidRDefault="004344E6" w:rsidP="004170B1">
      <w:pPr>
        <w:pStyle w:val="JuCase"/>
      </w:pPr>
      <w:r w:rsidRPr="004170B1">
        <w:lastRenderedPageBreak/>
        <w:t>En l</w:t>
      </w:r>
      <w:r w:rsidR="004170B1" w:rsidRPr="004170B1">
        <w:t>’</w:t>
      </w:r>
      <w:r w:rsidRPr="004170B1">
        <w:t xml:space="preserve">affaire </w:t>
      </w:r>
      <w:r w:rsidR="004F0A7A" w:rsidRPr="004170B1">
        <w:t>Morzenti c. Italie</w:t>
      </w:r>
      <w:r w:rsidRPr="004170B1">
        <w:t>,</w:t>
      </w:r>
    </w:p>
    <w:p w:rsidR="004344E6" w:rsidRPr="004170B1" w:rsidRDefault="004344E6" w:rsidP="004170B1">
      <w:pPr>
        <w:pStyle w:val="JuPara"/>
      </w:pPr>
      <w:r w:rsidRPr="004170B1">
        <w:t>La Cour européenne des droits de l</w:t>
      </w:r>
      <w:r w:rsidR="004170B1" w:rsidRPr="004170B1">
        <w:t>’</w:t>
      </w:r>
      <w:r w:rsidRPr="004170B1">
        <w:t>homme (</w:t>
      </w:r>
      <w:r w:rsidR="004F0A7A" w:rsidRPr="004170B1">
        <w:t>première section</w:t>
      </w:r>
      <w:r w:rsidRPr="004170B1">
        <w:t xml:space="preserve">), siégeant en </w:t>
      </w:r>
      <w:r w:rsidR="004F0A7A" w:rsidRPr="004170B1">
        <w:rPr>
          <w:color w:val="000000"/>
        </w:rPr>
        <w:t xml:space="preserve">un </w:t>
      </w:r>
      <w:r w:rsidR="004F0A7A" w:rsidRPr="004170B1">
        <w:t>comité composé</w:t>
      </w:r>
      <w:r w:rsidRPr="004170B1">
        <w:t xml:space="preserve"> de :</w:t>
      </w:r>
    </w:p>
    <w:p w:rsidR="0029613F" w:rsidRPr="004170B1" w:rsidRDefault="0029613F" w:rsidP="004170B1">
      <w:pPr>
        <w:pStyle w:val="JuJudges"/>
        <w:jc w:val="both"/>
        <w:rPr>
          <w:i/>
        </w:rPr>
      </w:pPr>
      <w:r w:rsidRPr="004170B1">
        <w:tab/>
        <w:t>Alena Poláčková,</w:t>
      </w:r>
      <w:r w:rsidRPr="004170B1">
        <w:rPr>
          <w:i/>
        </w:rPr>
        <w:t xml:space="preserve"> président</w:t>
      </w:r>
      <w:r w:rsidR="005F601C" w:rsidRPr="004170B1">
        <w:rPr>
          <w:i/>
        </w:rPr>
        <w:t>e</w:t>
      </w:r>
      <w:r w:rsidRPr="004170B1">
        <w:rPr>
          <w:i/>
        </w:rPr>
        <w:t>,</w:t>
      </w:r>
    </w:p>
    <w:p w:rsidR="0029613F" w:rsidRPr="004170B1" w:rsidRDefault="0029613F" w:rsidP="004170B1">
      <w:pPr>
        <w:pStyle w:val="JuJudges"/>
        <w:jc w:val="both"/>
        <w:rPr>
          <w:i/>
        </w:rPr>
      </w:pPr>
      <w:r w:rsidRPr="004170B1">
        <w:tab/>
        <w:t>Péter Paczolay,</w:t>
      </w:r>
    </w:p>
    <w:p w:rsidR="0029613F" w:rsidRPr="004170B1" w:rsidRDefault="0029613F" w:rsidP="004170B1">
      <w:pPr>
        <w:pStyle w:val="JuJudges"/>
        <w:jc w:val="both"/>
        <w:rPr>
          <w:i/>
        </w:rPr>
      </w:pPr>
      <w:r w:rsidRPr="004170B1">
        <w:tab/>
        <w:t>Raffaele Sabato,</w:t>
      </w:r>
      <w:r w:rsidRPr="004170B1">
        <w:rPr>
          <w:i/>
        </w:rPr>
        <w:t xml:space="preserve"> juges,</w:t>
      </w:r>
    </w:p>
    <w:p w:rsidR="004344E6" w:rsidRPr="004170B1" w:rsidRDefault="004344E6" w:rsidP="004170B1">
      <w:pPr>
        <w:pStyle w:val="JuJudges"/>
        <w:jc w:val="both"/>
        <w:rPr>
          <w:i/>
        </w:rPr>
      </w:pPr>
      <w:r w:rsidRPr="004170B1">
        <w:t xml:space="preserve">et de </w:t>
      </w:r>
      <w:r w:rsidR="004F0A7A" w:rsidRPr="004170B1">
        <w:t>Liv Tigerstedt</w:t>
      </w:r>
      <w:r w:rsidRPr="004170B1">
        <w:t xml:space="preserve">, </w:t>
      </w:r>
      <w:r w:rsidR="004F0A7A" w:rsidRPr="004170B1">
        <w:rPr>
          <w:i/>
        </w:rPr>
        <w:t>greffière adjointe</w:t>
      </w:r>
      <w:r w:rsidR="004F0A7A" w:rsidRPr="004170B1">
        <w:rPr>
          <w:iCs/>
        </w:rPr>
        <w:t xml:space="preserve"> </w:t>
      </w:r>
      <w:r w:rsidR="004F0A7A" w:rsidRPr="004170B1">
        <w:rPr>
          <w:i/>
          <w:iCs/>
        </w:rPr>
        <w:t>d</w:t>
      </w:r>
      <w:r w:rsidR="004F0A7A" w:rsidRPr="004170B1">
        <w:rPr>
          <w:i/>
        </w:rPr>
        <w:t>e section</w:t>
      </w:r>
      <w:r w:rsidRPr="004170B1">
        <w:t>,</w:t>
      </w:r>
    </w:p>
    <w:p w:rsidR="004F0A7A" w:rsidRPr="004170B1" w:rsidRDefault="004F0A7A" w:rsidP="004170B1">
      <w:pPr>
        <w:pStyle w:val="JuPara"/>
      </w:pPr>
      <w:bookmarkStart w:id="1" w:name="ITMARKHavingStart"/>
      <w:bookmarkEnd w:id="1"/>
      <w:r w:rsidRPr="004170B1">
        <w:t>Vu la requête (n</w:t>
      </w:r>
      <w:r w:rsidRPr="004170B1">
        <w:rPr>
          <w:vertAlign w:val="superscript"/>
        </w:rPr>
        <w:t>o</w:t>
      </w:r>
      <w:r w:rsidRPr="004170B1">
        <w:t xml:space="preserve"> 67024/13) dirigée contre la République italienne et dont un ressortissant de cet État, M. Giovanni Morzenti (« le requérant »), a </w:t>
      </w:r>
      <w:bookmarkStart w:id="2" w:name="_Hlk36124016"/>
      <w:r w:rsidRPr="004170B1">
        <w:t>saisi la Cour le 10 octobre 2013 en vertu de l</w:t>
      </w:r>
      <w:r w:rsidR="004170B1" w:rsidRPr="004170B1">
        <w:t>’</w:t>
      </w:r>
      <w:r w:rsidRPr="004170B1">
        <w:t>article 34 de la Convention de sauvegarde des droits de l</w:t>
      </w:r>
      <w:r w:rsidR="004170B1" w:rsidRPr="004170B1">
        <w:t>’</w:t>
      </w:r>
      <w:r w:rsidRPr="004170B1">
        <w:t>homme et des libertés fondamentales (« la Convention »)</w:t>
      </w:r>
      <w:bookmarkEnd w:id="2"/>
      <w:r w:rsidRPr="004170B1">
        <w:t>,</w:t>
      </w:r>
    </w:p>
    <w:p w:rsidR="004F0A7A" w:rsidRPr="004170B1" w:rsidRDefault="004F0A7A" w:rsidP="004170B1">
      <w:pPr>
        <w:pStyle w:val="JuPara"/>
      </w:pPr>
      <w:r w:rsidRPr="004170B1">
        <w:t>Vu la décision de porter à la connaissance du gouvernement italien (« le Gouvernement ») le grief concernant l</w:t>
      </w:r>
      <w:r w:rsidR="004170B1" w:rsidRPr="004170B1">
        <w:t>’</w:t>
      </w:r>
      <w:r w:rsidRPr="004170B1">
        <w:t>équité de la procédure et de déclarer la requête irrecevable pour le surplus,</w:t>
      </w:r>
    </w:p>
    <w:p w:rsidR="004F0A7A" w:rsidRPr="004170B1" w:rsidRDefault="004F0A7A" w:rsidP="004170B1">
      <w:pPr>
        <w:pStyle w:val="JuPara"/>
      </w:pPr>
      <w:r w:rsidRPr="004170B1">
        <w:t>Vu les observations des parties,</w:t>
      </w:r>
    </w:p>
    <w:p w:rsidR="004F0A7A" w:rsidRPr="004170B1" w:rsidRDefault="004F0A7A" w:rsidP="004170B1">
      <w:pPr>
        <w:pStyle w:val="JuPara"/>
      </w:pPr>
      <w:r w:rsidRPr="004170B1">
        <w:t>Vu la décision par laquelle la Cour a rejeté l</w:t>
      </w:r>
      <w:r w:rsidR="004170B1" w:rsidRPr="004170B1">
        <w:t>’</w:t>
      </w:r>
      <w:r w:rsidRPr="004170B1">
        <w:t>opposition du Gouvernement à l</w:t>
      </w:r>
      <w:r w:rsidR="004170B1" w:rsidRPr="004170B1">
        <w:t>’</w:t>
      </w:r>
      <w:r w:rsidRPr="004170B1">
        <w:t>examen de la requête par un comité,</w:t>
      </w:r>
    </w:p>
    <w:p w:rsidR="004344E6" w:rsidRPr="004170B1" w:rsidRDefault="004344E6" w:rsidP="004170B1">
      <w:pPr>
        <w:pStyle w:val="JuPara"/>
      </w:pPr>
      <w:r w:rsidRPr="004170B1">
        <w:t xml:space="preserve">Après en avoir délibéré en chambre du conseil le </w:t>
      </w:r>
      <w:r w:rsidR="004F0A7A" w:rsidRPr="004170B1">
        <w:t>25 mai 2021</w:t>
      </w:r>
      <w:r w:rsidRPr="004170B1">
        <w:t>,</w:t>
      </w:r>
    </w:p>
    <w:p w:rsidR="00876F03" w:rsidRPr="004170B1" w:rsidRDefault="004344E6" w:rsidP="004170B1">
      <w:pPr>
        <w:pStyle w:val="JuPara"/>
      </w:pPr>
      <w:r w:rsidRPr="004170B1">
        <w:t>Rend l</w:t>
      </w:r>
      <w:r w:rsidR="004170B1" w:rsidRPr="004170B1">
        <w:t>’</w:t>
      </w:r>
      <w:r w:rsidRPr="004170B1">
        <w:t>arrêt que voici</w:t>
      </w:r>
      <w:r w:rsidR="00876F03" w:rsidRPr="004170B1">
        <w:t>, adopté à cette date :</w:t>
      </w:r>
    </w:p>
    <w:p w:rsidR="004F0A7A" w:rsidRPr="004170B1" w:rsidRDefault="004F0A7A" w:rsidP="004170B1">
      <w:pPr>
        <w:pStyle w:val="JuHHead"/>
        <w:numPr>
          <w:ilvl w:val="0"/>
          <w:numId w:val="1"/>
        </w:numPr>
      </w:pPr>
      <w:r w:rsidRPr="004170B1">
        <w:rPr>
          <w:caps w:val="0"/>
        </w:rPr>
        <w:t>IN</w:t>
      </w:r>
      <w:r w:rsidRPr="004170B1">
        <w:t>TRODUCTION</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w:t>
      </w:r>
      <w:r w:rsidRPr="004170B1">
        <w:fldChar w:fldCharType="end"/>
      </w:r>
      <w:r w:rsidRPr="004170B1">
        <w:t>.  La requête concerne la condamnation pénale en appel du requérant, qui avait été acquitté en première instance. La juridiction d</w:t>
      </w:r>
      <w:r w:rsidR="004170B1" w:rsidRPr="004170B1">
        <w:t>’</w:t>
      </w:r>
      <w:r w:rsidRPr="004170B1">
        <w:t>appel l</w:t>
      </w:r>
      <w:r w:rsidR="004170B1" w:rsidRPr="004170B1">
        <w:t>’</w:t>
      </w:r>
      <w:r w:rsidRPr="004170B1">
        <w:t>a reconnu coupable sans avoir entendu à nouveau le témoin à charge. Le requérant invoque l</w:t>
      </w:r>
      <w:r w:rsidR="004170B1" w:rsidRPr="004170B1">
        <w:t>’</w:t>
      </w:r>
      <w:r w:rsidRPr="004170B1">
        <w:t>article 6 § 1 de la Convention.</w:t>
      </w:r>
    </w:p>
    <w:p w:rsidR="004F0A7A" w:rsidRPr="004170B1" w:rsidRDefault="004F0A7A" w:rsidP="004170B1">
      <w:pPr>
        <w:pStyle w:val="JuHHead"/>
        <w:numPr>
          <w:ilvl w:val="0"/>
          <w:numId w:val="1"/>
        </w:numPr>
      </w:pPr>
      <w:bookmarkStart w:id="3" w:name="_Hlk36126677"/>
      <w:r w:rsidRPr="004170B1">
        <w:t>EN FAIT</w:t>
      </w:r>
    </w:p>
    <w:bookmarkEnd w:id="3"/>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w:t>
      </w:r>
      <w:r w:rsidRPr="004170B1">
        <w:fldChar w:fldCharType="end"/>
      </w:r>
      <w:r w:rsidRPr="004170B1">
        <w:t>.  Le requérant est né en 1950 et réside à Fossano. Il a été représenté par M</w:t>
      </w:r>
      <w:r w:rsidRPr="004170B1">
        <w:rPr>
          <w:vertAlign w:val="superscript"/>
        </w:rPr>
        <w:t>e</w:t>
      </w:r>
      <w:r w:rsidRPr="004170B1">
        <w:t> </w:t>
      </w:r>
      <w:bookmarkStart w:id="4" w:name="_Hlk74812265"/>
      <w:r w:rsidRPr="004170B1">
        <w:t>M.F. Ferrero</w:t>
      </w:r>
      <w:bookmarkEnd w:id="4"/>
      <w:r w:rsidRPr="004170B1">
        <w:t>.</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3</w:t>
      </w:r>
      <w:r w:rsidRPr="004170B1">
        <w:fldChar w:fldCharType="end"/>
      </w:r>
      <w:r w:rsidRPr="004170B1">
        <w:t>.  </w:t>
      </w:r>
      <w:bookmarkStart w:id="5" w:name="_Hlk36127123"/>
      <w:r w:rsidRPr="004170B1">
        <w:t>Le Gouvernement a été représenté par son agent, M. L. D</w:t>
      </w:r>
      <w:r w:rsidR="004170B1" w:rsidRPr="004170B1">
        <w:t>’</w:t>
      </w:r>
      <w:r w:rsidRPr="004170B1">
        <w:t>Ascia</w:t>
      </w:r>
      <w:bookmarkEnd w:id="5"/>
      <w:r w:rsidRPr="004170B1">
        <w:t>.</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4</w:t>
      </w:r>
      <w:r w:rsidRPr="004170B1">
        <w:fldChar w:fldCharType="end"/>
      </w:r>
      <w:r w:rsidRPr="004170B1">
        <w:t>.  À une date non précisée, le requérant fut renvoyé en jugement avec une autre personne devant le tribunal de Cuneo, pour concussion, relativement à des faits survenus en avril et en juin 2006.</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5</w:t>
      </w:r>
      <w:r w:rsidRPr="004170B1">
        <w:fldChar w:fldCharType="end"/>
      </w:r>
      <w:r w:rsidRPr="004170B1">
        <w:t>.  Le 28 janvier 2011, après avoir entendu plusieurs témoins, le tribunal rendit son jugement. Il déclara le requérant coupable quant aux faits d</w:t>
      </w:r>
      <w:r w:rsidR="004170B1" w:rsidRPr="004170B1">
        <w:t>’</w:t>
      </w:r>
      <w:r w:rsidRPr="004170B1">
        <w:t>avril 2006 et le relaxa quant aux faits de juin. En ce qui concernait les faits de juin, il estimait que les déclarations de la victime supposée, A., n</w:t>
      </w:r>
      <w:r w:rsidR="004170B1" w:rsidRPr="004170B1">
        <w:t>’</w:t>
      </w:r>
      <w:r w:rsidRPr="004170B1">
        <w:t>avaient pas été corroborées par les dépositions des autres témoins entendus au cours des débats, et qu</w:t>
      </w:r>
      <w:r w:rsidR="004170B1" w:rsidRPr="004170B1">
        <w:t>’</w:t>
      </w:r>
      <w:r w:rsidRPr="004170B1">
        <w:t>elles ne concordaient pas totalement avec celles qu</w:t>
      </w:r>
      <w:r w:rsidR="004170B1" w:rsidRPr="004170B1">
        <w:t>’</w:t>
      </w:r>
      <w:r w:rsidRPr="004170B1">
        <w:t>A. lui-même avait faites pendant les investigations préliminaires. Il nota que A.</w:t>
      </w:r>
      <w:r w:rsidR="005C5F06" w:rsidRPr="004170B1">
        <w:t> </w:t>
      </w:r>
      <w:r w:rsidRPr="004170B1">
        <w:t xml:space="preserve">avait certes expliqué en partie les incohérences relevées dans son </w:t>
      </w:r>
      <w:r w:rsidRPr="004170B1">
        <w:lastRenderedPageBreak/>
        <w:t>témoignage, mais que ces incohérences concernaient des éléments de preuve essentiels pour juger de l</w:t>
      </w:r>
      <w:r w:rsidR="004170B1" w:rsidRPr="004170B1">
        <w:t>’</w:t>
      </w:r>
      <w:r w:rsidRPr="004170B1">
        <w:t>existence de l</w:t>
      </w:r>
      <w:r w:rsidR="004170B1" w:rsidRPr="004170B1">
        <w:t>’</w:t>
      </w:r>
      <w:r w:rsidRPr="004170B1">
        <w:t>infraction. Dès lors, il estima qu</w:t>
      </w:r>
      <w:r w:rsidR="004170B1" w:rsidRPr="004170B1">
        <w:t>’</w:t>
      </w:r>
      <w:r w:rsidRPr="004170B1">
        <w:t>il était impossible de juger établi au-delà de tout doute raisonnable que le requérant eût commis les actes correspondant au chef d</w:t>
      </w:r>
      <w:r w:rsidR="004170B1" w:rsidRPr="004170B1">
        <w:t>’</w:t>
      </w:r>
      <w:r w:rsidRPr="004170B1">
        <w:t>inculpation relatif aux faits de juin 2006.</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6</w:t>
      </w:r>
      <w:r w:rsidRPr="004170B1">
        <w:fldChar w:fldCharType="end"/>
      </w:r>
      <w:r w:rsidRPr="004170B1">
        <w:t>.  Le parquet et la partie civile interjetèrent tous deux appel du jugement. Par un arrêt du 17</w:t>
      </w:r>
      <w:r w:rsidR="00BB6D2F" w:rsidRPr="004170B1">
        <w:t xml:space="preserve"> </w:t>
      </w:r>
      <w:r w:rsidRPr="004170B1">
        <w:t>avril 2012, la cour d</w:t>
      </w:r>
      <w:r w:rsidR="004170B1" w:rsidRPr="004170B1">
        <w:t>’</w:t>
      </w:r>
      <w:r w:rsidRPr="004170B1">
        <w:t>appel de Turin déclara le requérant coupable de tous les chefs d</w:t>
      </w:r>
      <w:r w:rsidR="004170B1" w:rsidRPr="004170B1">
        <w:t>’</w:t>
      </w:r>
      <w:r w:rsidRPr="004170B1">
        <w:t>inculpation retenus contre lui. Sur les faits de juin 2006, elle jugea que la principale preuve à charge résidait dans le témoignage de la victime. Elle estima à cet égard que, d</w:t>
      </w:r>
      <w:r w:rsidR="004170B1" w:rsidRPr="004170B1">
        <w:t>’</w:t>
      </w:r>
      <w:r w:rsidRPr="004170B1">
        <w:t>une part, le tribunal avait accordé un poids trop important aux incohérences que présentait la version de A. et, d</w:t>
      </w:r>
      <w:r w:rsidR="004170B1" w:rsidRPr="004170B1">
        <w:t>’</w:t>
      </w:r>
      <w:r w:rsidRPr="004170B1">
        <w:t>autre part, il n</w:t>
      </w:r>
      <w:r w:rsidR="004170B1" w:rsidRPr="004170B1">
        <w:t>’</w:t>
      </w:r>
      <w:r w:rsidRPr="004170B1">
        <w:t>avait pas dûment pris en compte les autres éléments de preuve. Elle tint le raisonnement suivant : A.</w:t>
      </w:r>
      <w:r w:rsidR="005C5F06" w:rsidRPr="004170B1">
        <w:t> </w:t>
      </w:r>
      <w:r w:rsidRPr="004170B1">
        <w:t>avait toujours évoqué les mêmes faits dans ses différentes dépositions, et il avait expliqué les raisons des contradictions que celles-ci semblaient renfermer ; à supposer qu</w:t>
      </w:r>
      <w:r w:rsidR="004170B1" w:rsidRPr="004170B1">
        <w:t>’</w:t>
      </w:r>
      <w:r w:rsidRPr="004170B1">
        <w:t>il restât dans son témoignage des incohérences ou des confusions, ces éléments auraient été suffisamment compensés par les autres éléments de preuve recueillis, notamment par les déclarations des témoins, par le document dont le requérant s</w:t>
      </w:r>
      <w:r w:rsidR="004170B1" w:rsidRPr="004170B1">
        <w:t>’</w:t>
      </w:r>
      <w:r w:rsidRPr="004170B1">
        <w:t>était servi pour faire pression sur A. afin de parvenir à ses fins et par des éléments obtenus au moyen d</w:t>
      </w:r>
      <w:r w:rsidR="004170B1" w:rsidRPr="004170B1">
        <w:t>’</w:t>
      </w:r>
      <w:r w:rsidRPr="004170B1">
        <w:t>écoutes environnementales ; enfin, il n</w:t>
      </w:r>
      <w:r w:rsidR="004170B1" w:rsidRPr="004170B1">
        <w:t>’</w:t>
      </w:r>
      <w:r w:rsidRPr="004170B1">
        <w:t>y avait aucune raison de douter de la crédibilité intrinsèque ou extrinsèque de A.</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7</w:t>
      </w:r>
      <w:r w:rsidRPr="004170B1">
        <w:fldChar w:fldCharType="end"/>
      </w:r>
      <w:r w:rsidRPr="004170B1">
        <w:t>.  Le requérant se pourvut en cassation. Il se plaignait notamment de ce que la cour d</w:t>
      </w:r>
      <w:r w:rsidR="004170B1" w:rsidRPr="004170B1">
        <w:t>’</w:t>
      </w:r>
      <w:r w:rsidRPr="004170B1">
        <w:t>appel l</w:t>
      </w:r>
      <w:r w:rsidR="004170B1" w:rsidRPr="004170B1">
        <w:t>’</w:t>
      </w:r>
      <w:r w:rsidRPr="004170B1">
        <w:t>avait reconnu coupable des faits de juin 2006 pour lesquels il avait été relaxé en première instance alors qu</w:t>
      </w:r>
      <w:r w:rsidR="004170B1" w:rsidRPr="004170B1">
        <w:t>’</w:t>
      </w:r>
      <w:r w:rsidRPr="004170B1">
        <w:t>elle n</w:t>
      </w:r>
      <w:r w:rsidR="004170B1" w:rsidRPr="004170B1">
        <w:t>’</w:t>
      </w:r>
      <w:r w:rsidRPr="004170B1">
        <w:t>avait pas entendu directement le témoin à charge.</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8</w:t>
      </w:r>
      <w:r w:rsidRPr="004170B1">
        <w:fldChar w:fldCharType="end"/>
      </w:r>
      <w:r w:rsidRPr="004170B1">
        <w:t>.  Par un arrêt déposé le 12 avril 2013, la Cour de cassation rejeta le pourvoi. Elle observa que l</w:t>
      </w:r>
      <w:r w:rsidR="004170B1" w:rsidRPr="004170B1">
        <w:t>’</w:t>
      </w:r>
      <w:r w:rsidRPr="004170B1">
        <w:t>affaire concernant le requérant se différenciait de l</w:t>
      </w:r>
      <w:r w:rsidR="004170B1" w:rsidRPr="004170B1">
        <w:t>’</w:t>
      </w:r>
      <w:r w:rsidRPr="004170B1">
        <w:t xml:space="preserve">affaire </w:t>
      </w:r>
      <w:r w:rsidRPr="004170B1">
        <w:rPr>
          <w:i/>
          <w:iCs/>
        </w:rPr>
        <w:t>Dan c. Moldova</w:t>
      </w:r>
      <w:r w:rsidRPr="004170B1">
        <w:t xml:space="preserve"> (n</w:t>
      </w:r>
      <w:r w:rsidRPr="004170B1">
        <w:rPr>
          <w:vertAlign w:val="superscript"/>
        </w:rPr>
        <w:t>o</w:t>
      </w:r>
      <w:r w:rsidRPr="004170B1">
        <w:t> 8999/07, 5</w:t>
      </w:r>
      <w:r w:rsidR="00BB6D2F" w:rsidRPr="004170B1">
        <w:t xml:space="preserve"> </w:t>
      </w:r>
      <w:r w:rsidRPr="004170B1">
        <w:t>juillet 2011) en ce qu</w:t>
      </w:r>
      <w:r w:rsidR="004170B1" w:rsidRPr="004170B1">
        <w:t>’</w:t>
      </w:r>
      <w:r w:rsidRPr="004170B1">
        <w:t>à aucun moment la crédibilité du témoin à charge n</w:t>
      </w:r>
      <w:r w:rsidR="004170B1" w:rsidRPr="004170B1">
        <w:t>’</w:t>
      </w:r>
      <w:r w:rsidRPr="004170B1">
        <w:t>avait été mise en doute, ni par le tribunal ni par la cour d</w:t>
      </w:r>
      <w:r w:rsidR="004170B1" w:rsidRPr="004170B1">
        <w:t>’</w:t>
      </w:r>
      <w:r w:rsidRPr="004170B1">
        <w:t>appel. Elle estima que cette dernière avait simplement donné une lecture correcte et logique des éléments de preuve disponibles, éléments que le tribunal n</w:t>
      </w:r>
      <w:r w:rsidR="004170B1" w:rsidRPr="004170B1">
        <w:t>’</w:t>
      </w:r>
      <w:r w:rsidRPr="004170B1">
        <w:t>avait pas correctement interprétés ou pas adéquatement pris en compte, et que, dans le cadre de cette réévaluation globale, elle avait examiné la question de la crédibilité du témoin de manière particulièrement approfondie. Elle jugea donc dûment fondé le verdict de culpabilité.</w:t>
      </w:r>
    </w:p>
    <w:p w:rsidR="004F0A7A" w:rsidRPr="004170B1" w:rsidRDefault="004F0A7A" w:rsidP="004170B1">
      <w:pPr>
        <w:pStyle w:val="JuHHead"/>
        <w:numPr>
          <w:ilvl w:val="0"/>
          <w:numId w:val="1"/>
        </w:numPr>
      </w:pPr>
      <w:bookmarkStart w:id="6" w:name="_Hlk36127227"/>
      <w:r w:rsidRPr="004170B1">
        <w:rPr>
          <w:caps w:val="0"/>
        </w:rPr>
        <w:t>LE CADRE JURIDIQUE ET LA PRATIQUE INTERNES PERTINENTS</w:t>
      </w:r>
    </w:p>
    <w:bookmarkEnd w:id="6"/>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9</w:t>
      </w:r>
      <w:r w:rsidRPr="004170B1">
        <w:fldChar w:fldCharType="end"/>
      </w:r>
      <w:r w:rsidRPr="004170B1">
        <w:t>.  </w:t>
      </w:r>
      <w:bookmarkStart w:id="7" w:name="_Hlk36127236"/>
      <w:r w:rsidRPr="004170B1">
        <w:t>Le cadre juridique interne pertinent en l</w:t>
      </w:r>
      <w:r w:rsidR="004170B1" w:rsidRPr="004170B1">
        <w:t>’</w:t>
      </w:r>
      <w:r w:rsidRPr="004170B1">
        <w:t>espèce est décrit dans l</w:t>
      </w:r>
      <w:r w:rsidR="004170B1" w:rsidRPr="004170B1">
        <w:t>’</w:t>
      </w:r>
      <w:r w:rsidRPr="004170B1">
        <w:t xml:space="preserve">arrêt </w:t>
      </w:r>
      <w:r w:rsidRPr="004170B1">
        <w:rPr>
          <w:i/>
          <w:iCs/>
        </w:rPr>
        <w:t>Lorefice c. Italie</w:t>
      </w:r>
      <w:r w:rsidRPr="004170B1">
        <w:t>, n</w:t>
      </w:r>
      <w:r w:rsidRPr="004170B1">
        <w:rPr>
          <w:vertAlign w:val="superscript"/>
        </w:rPr>
        <w:t>o</w:t>
      </w:r>
      <w:r w:rsidRPr="004170B1">
        <w:t> 63446/13, §§ 26</w:t>
      </w:r>
      <w:r w:rsidRPr="004170B1">
        <w:noBreakHyphen/>
        <w:t>28, 29 juin 2017.</w:t>
      </w:r>
      <w:bookmarkEnd w:id="7"/>
    </w:p>
    <w:p w:rsidR="004F0A7A" w:rsidRPr="004170B1" w:rsidRDefault="004F0A7A" w:rsidP="004170B1">
      <w:pPr>
        <w:pStyle w:val="JuHHead"/>
        <w:numPr>
          <w:ilvl w:val="0"/>
          <w:numId w:val="1"/>
        </w:numPr>
      </w:pPr>
      <w:bookmarkStart w:id="8" w:name="_Hlk36127250"/>
      <w:r w:rsidRPr="004170B1">
        <w:rPr>
          <w:caps w:val="0"/>
        </w:rPr>
        <w:lastRenderedPageBreak/>
        <w:t>EN DROIT</w:t>
      </w:r>
      <w:bookmarkEnd w:id="8"/>
    </w:p>
    <w:p w:rsidR="004F0A7A" w:rsidRPr="004170B1" w:rsidRDefault="004F0A7A" w:rsidP="004170B1">
      <w:pPr>
        <w:pStyle w:val="JuHIRoman"/>
      </w:pPr>
      <w:bookmarkStart w:id="9" w:name="_Hlk36127423"/>
      <w:bookmarkStart w:id="10" w:name="_Hlk34839031"/>
      <w:r w:rsidRPr="004170B1">
        <w:t xml:space="preserve">SUR la qualité DES HÉRITIERS DU REQUÉRANT </w:t>
      </w:r>
      <w:r w:rsidRPr="004170B1">
        <w:rPr>
          <w:rFonts w:cstheme="minorHAnsi"/>
        </w:rPr>
        <w:t>pour</w:t>
      </w:r>
      <w:r w:rsidRPr="004170B1">
        <w:t xml:space="preserve"> POURSUIVRE LA REQUÊTE</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10</w:t>
      </w:r>
      <w:r w:rsidRPr="004170B1">
        <w:fldChar w:fldCharType="end"/>
      </w:r>
      <w:r w:rsidRPr="004170B1">
        <w:t xml:space="preserve">.  Le </w:t>
      </w:r>
      <w:bookmarkStart w:id="11" w:name="lt_pId038"/>
      <w:r w:rsidRPr="004170B1">
        <w:t>requérant, M. Giovanni Morzenti, est décédé le 29</w:t>
      </w:r>
      <w:r w:rsidR="00BB6D2F" w:rsidRPr="004170B1">
        <w:t xml:space="preserve"> </w:t>
      </w:r>
      <w:r w:rsidRPr="004170B1">
        <w:t>avril 2017.</w:t>
      </w:r>
      <w:bookmarkStart w:id="12" w:name="lt_pId039"/>
      <w:bookmarkEnd w:id="11"/>
      <w:r w:rsidRPr="004170B1">
        <w:t xml:space="preserve"> Par des lettres datées des 3</w:t>
      </w:r>
      <w:r w:rsidR="00BB6D2F" w:rsidRPr="004170B1">
        <w:t xml:space="preserve"> </w:t>
      </w:r>
      <w:r w:rsidRPr="004170B1">
        <w:t>juillet et 6</w:t>
      </w:r>
      <w:r w:rsidR="00BB6D2F" w:rsidRPr="004170B1">
        <w:t xml:space="preserve"> </w:t>
      </w:r>
      <w:r w:rsidRPr="004170B1">
        <w:t xml:space="preserve">septembre 2017, son épouse, </w:t>
      </w:r>
      <w:bookmarkStart w:id="13" w:name="_Hlk58594281"/>
      <w:r w:rsidRPr="004170B1">
        <w:t>M</w:t>
      </w:r>
      <w:r w:rsidRPr="004170B1">
        <w:rPr>
          <w:vertAlign w:val="superscript"/>
        </w:rPr>
        <w:t>me</w:t>
      </w:r>
      <w:r w:rsidRPr="004170B1">
        <w:t> Miranda Fulchini, et ses trois enfants, M</w:t>
      </w:r>
      <w:r w:rsidRPr="004170B1">
        <w:rPr>
          <w:vertAlign w:val="superscript"/>
        </w:rPr>
        <w:t>me</w:t>
      </w:r>
      <w:r w:rsidRPr="004170B1">
        <w:t> Debora Morzenti et MM. Ermes et Jacopo Morzenti</w:t>
      </w:r>
      <w:bookmarkEnd w:id="13"/>
      <w:r w:rsidRPr="004170B1">
        <w:t>, ont informé la Cour de leur souhait de maintenir la requête</w:t>
      </w:r>
      <w:bookmarkEnd w:id="12"/>
      <w:r w:rsidRPr="004170B1">
        <w:t xml:space="preserve"> introduite par leur proche. Ils ont produit leurs certificats d</w:t>
      </w:r>
      <w:r w:rsidR="004170B1" w:rsidRPr="004170B1">
        <w:t>’</w:t>
      </w:r>
      <w:r w:rsidRPr="004170B1">
        <w:t>héritiers.</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11</w:t>
      </w:r>
      <w:r w:rsidRPr="004170B1">
        <w:fldChar w:fldCharType="end"/>
      </w:r>
      <w:r w:rsidRPr="004170B1">
        <w:t>.  Le Gouvernement s</w:t>
      </w:r>
      <w:r w:rsidR="004170B1" w:rsidRPr="004170B1">
        <w:t>’</w:t>
      </w:r>
      <w:r w:rsidRPr="004170B1">
        <w:t>y oppose. Il soutient que les héritiers du requérant ne peuvent pas se prétendre victimes de la violation alléguée au sens de l</w:t>
      </w:r>
      <w:r w:rsidR="004170B1" w:rsidRPr="004170B1">
        <w:t>’</w:t>
      </w:r>
      <w:r w:rsidRPr="004170B1">
        <w:t>article 34 de la Convention.</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12</w:t>
      </w:r>
      <w:r w:rsidRPr="004170B1">
        <w:fldChar w:fldCharType="end"/>
      </w:r>
      <w:r w:rsidRPr="004170B1">
        <w:t>.  La Cour rappelle que, dans les cas où le requérant originaire décède après l</w:t>
      </w:r>
      <w:r w:rsidR="004170B1" w:rsidRPr="004170B1">
        <w:t>’</w:t>
      </w:r>
      <w:r w:rsidRPr="004170B1">
        <w:t>introduction de la requête, elle autorise normalement les proches de l</w:t>
      </w:r>
      <w:r w:rsidR="004170B1" w:rsidRPr="004170B1">
        <w:t>’</w:t>
      </w:r>
      <w:r w:rsidRPr="004170B1">
        <w:t>intéressé à poursuivre la procédure, à condition qu</w:t>
      </w:r>
      <w:r w:rsidR="004170B1" w:rsidRPr="004170B1">
        <w:t>’</w:t>
      </w:r>
      <w:r w:rsidRPr="004170B1">
        <w:t>ils aient un intérêt légitime à le faire (voir, parmi beaucoup d</w:t>
      </w:r>
      <w:r w:rsidR="004170B1" w:rsidRPr="004170B1">
        <w:t>’</w:t>
      </w:r>
      <w:r w:rsidRPr="004170B1">
        <w:t xml:space="preserve">autres, </w:t>
      </w:r>
      <w:r w:rsidRPr="004170B1">
        <w:rPr>
          <w:i/>
          <w:iCs/>
        </w:rPr>
        <w:t>Murray c. Pays-B</w:t>
      </w:r>
      <w:r w:rsidRPr="004170B1">
        <w:t>as [GC], n</w:t>
      </w:r>
      <w:r w:rsidRPr="004170B1">
        <w:rPr>
          <w:vertAlign w:val="superscript"/>
        </w:rPr>
        <w:t>o</w:t>
      </w:r>
      <w:r w:rsidRPr="004170B1">
        <w:t xml:space="preserve"> 10511/10, § 79, </w:t>
      </w:r>
      <w:r w:rsidRPr="004170B1">
        <w:rPr>
          <w:snapToGrid w:val="0"/>
        </w:rPr>
        <w:t>26</w:t>
      </w:r>
      <w:r w:rsidR="00BB6D2F" w:rsidRPr="004170B1">
        <w:rPr>
          <w:snapToGrid w:val="0"/>
        </w:rPr>
        <w:t xml:space="preserve"> </w:t>
      </w:r>
      <w:r w:rsidRPr="004170B1">
        <w:rPr>
          <w:snapToGrid w:val="0"/>
        </w:rPr>
        <w:t xml:space="preserve">avril </w:t>
      </w:r>
      <w:r w:rsidRPr="004170B1">
        <w:t>2016). En l</w:t>
      </w:r>
      <w:r w:rsidR="004170B1" w:rsidRPr="004170B1">
        <w:t>’</w:t>
      </w:r>
      <w:r w:rsidRPr="004170B1">
        <w:t>espèce, elle estime que l</w:t>
      </w:r>
      <w:r w:rsidR="004170B1" w:rsidRPr="004170B1">
        <w:t>’</w:t>
      </w:r>
      <w:r w:rsidRPr="004170B1">
        <w:t>épouse et les enfants du requérant ont un intérêt légitime à faire constater que la condamnation de ce dernier a été contraire à son droit à un procès équitable. Elle leur reconnaît dès lors la qualité pour se substituer à lui dans la présente procédure et, de ce fait, la qualité pour agir au regard de l</w:t>
      </w:r>
      <w:r w:rsidR="004170B1" w:rsidRPr="004170B1">
        <w:t>’</w:t>
      </w:r>
      <w:r w:rsidRPr="004170B1">
        <w:t xml:space="preserve">article 34 de la Convention (voir, </w:t>
      </w:r>
      <w:r w:rsidRPr="004170B1">
        <w:rPr>
          <w:i/>
          <w:iCs/>
        </w:rPr>
        <w:t>mutatis mutandis</w:t>
      </w:r>
      <w:r w:rsidRPr="004170B1">
        <w:t xml:space="preserve">, </w:t>
      </w:r>
      <w:r w:rsidRPr="004170B1">
        <w:rPr>
          <w:i/>
        </w:rPr>
        <w:t>Dalban c. Roumanie</w:t>
      </w:r>
      <w:r w:rsidRPr="004170B1">
        <w:t xml:space="preserve"> [GC], n</w:t>
      </w:r>
      <w:r w:rsidRPr="004170B1">
        <w:rPr>
          <w:vertAlign w:val="superscript"/>
        </w:rPr>
        <w:t>o</w:t>
      </w:r>
      <w:r w:rsidRPr="004170B1">
        <w:t> 28114/95, § 39, CEDH 1999</w:t>
      </w:r>
      <w:r w:rsidRPr="004170B1">
        <w:noBreakHyphen/>
        <w:t>VI).</w:t>
      </w:r>
      <w:r w:rsidRPr="004170B1">
        <w:rPr>
          <w:rFonts w:ascii="Arial" w:hAnsi="Arial" w:cs="Arial"/>
          <w:color w:val="000000"/>
        </w:rPr>
        <w:t xml:space="preserve"> </w:t>
      </w:r>
      <w:r w:rsidRPr="004170B1">
        <w:t>Toutefois, pour des raisons d</w:t>
      </w:r>
      <w:r w:rsidR="004170B1" w:rsidRPr="004170B1">
        <w:t>’</w:t>
      </w:r>
      <w:r w:rsidRPr="004170B1">
        <w:t>ordre pratique, la présente décision continuera de désigner M. Giovanni Morzenti comme « le requérant »,</w:t>
      </w:r>
      <w:r w:rsidRPr="004170B1">
        <w:rPr>
          <w:rFonts w:ascii="Arial" w:hAnsi="Arial" w:cs="Arial"/>
          <w:color w:val="000000"/>
        </w:rPr>
        <w:t xml:space="preserve"> </w:t>
      </w:r>
      <w:r w:rsidRPr="004170B1">
        <w:t>bien qu</w:t>
      </w:r>
      <w:r w:rsidR="004170B1" w:rsidRPr="004170B1">
        <w:t>’</w:t>
      </w:r>
      <w:r w:rsidRPr="004170B1">
        <w:t>il faille aujourd</w:t>
      </w:r>
      <w:r w:rsidR="004170B1" w:rsidRPr="004170B1">
        <w:t>’</w:t>
      </w:r>
      <w:r w:rsidRPr="004170B1">
        <w:t>hui attribuer cette qualité à sa veuve et à ses enfants.</w:t>
      </w:r>
    </w:p>
    <w:p w:rsidR="004F0A7A" w:rsidRPr="004170B1" w:rsidRDefault="004F0A7A" w:rsidP="004170B1">
      <w:pPr>
        <w:pStyle w:val="JuHIRoman"/>
      </w:pPr>
      <w:r w:rsidRPr="004170B1">
        <w:t>SUR LA VIOLATION ALLÉGUÉE DE L</w:t>
      </w:r>
      <w:r w:rsidR="004170B1" w:rsidRPr="004170B1">
        <w:t>’</w:t>
      </w:r>
      <w:r w:rsidRPr="004170B1">
        <w:t>ARTICLE 6 § 1 DE LA CONVENTION</w:t>
      </w:r>
      <w:bookmarkEnd w:id="9"/>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13</w:t>
      </w:r>
      <w:r w:rsidRPr="004170B1">
        <w:fldChar w:fldCharType="end"/>
      </w:r>
      <w:r w:rsidRPr="004170B1">
        <w:t xml:space="preserve">.  Le requérant se plaignait </w:t>
      </w:r>
      <w:bookmarkStart w:id="14" w:name="_Hlk36127488"/>
      <w:r w:rsidRPr="004170B1">
        <w:t>que la cour d</w:t>
      </w:r>
      <w:r w:rsidR="004170B1" w:rsidRPr="004170B1">
        <w:t>’</w:t>
      </w:r>
      <w:r w:rsidRPr="004170B1">
        <w:t>appel de Turin l</w:t>
      </w:r>
      <w:r w:rsidR="004170B1" w:rsidRPr="004170B1">
        <w:t>’</w:t>
      </w:r>
      <w:r w:rsidRPr="004170B1">
        <w:t>eût déclaré coupable sur la base des déclarations d</w:t>
      </w:r>
      <w:r w:rsidR="004170B1" w:rsidRPr="004170B1">
        <w:t>’</w:t>
      </w:r>
      <w:r w:rsidRPr="004170B1">
        <w:t>un témoin qu</w:t>
      </w:r>
      <w:r w:rsidR="004170B1" w:rsidRPr="004170B1">
        <w:t>’</w:t>
      </w:r>
      <w:r w:rsidRPr="004170B1">
        <w:t>elle n</w:t>
      </w:r>
      <w:r w:rsidR="004170B1" w:rsidRPr="004170B1">
        <w:t>’</w:t>
      </w:r>
      <w:r w:rsidRPr="004170B1">
        <w:t>avait pas entendu directement.</w:t>
      </w:r>
      <w:bookmarkEnd w:id="14"/>
      <w:r w:rsidRPr="004170B1">
        <w:t xml:space="preserve"> Il </w:t>
      </w:r>
      <w:bookmarkStart w:id="15" w:name="_Hlk36127508"/>
      <w:r w:rsidRPr="004170B1">
        <w:t>invoquait l</w:t>
      </w:r>
      <w:r w:rsidR="004170B1" w:rsidRPr="004170B1">
        <w:t>’</w:t>
      </w:r>
      <w:r w:rsidRPr="004170B1">
        <w:t>article 6 § 1 de la Convention, qui est ainsi libellé dans ses parties pertinentes :</w:t>
      </w:r>
    </w:p>
    <w:bookmarkEnd w:id="15"/>
    <w:p w:rsidR="004F0A7A" w:rsidRPr="004170B1" w:rsidRDefault="004F0A7A" w:rsidP="004170B1">
      <w:pPr>
        <w:pStyle w:val="JuQuot"/>
      </w:pPr>
      <w:r w:rsidRPr="004170B1">
        <w:t>« Toute personne a droit à ce que sa cause soit entendue équitablement (...) par un tribunal (...) qui décidera (...) du bien-fondé de toute accusation en matière pénale dirigée contre elle. »</w:t>
      </w:r>
    </w:p>
    <w:p w:rsidR="004F0A7A" w:rsidRPr="004170B1" w:rsidRDefault="004F0A7A" w:rsidP="004170B1">
      <w:pPr>
        <w:pStyle w:val="JuHA"/>
      </w:pPr>
      <w:bookmarkStart w:id="16" w:name="_Hlk36127545"/>
      <w:r w:rsidRPr="004170B1">
        <w:lastRenderedPageBreak/>
        <w:t>Sur la recevabilité</w:t>
      </w:r>
      <w:bookmarkEnd w:id="16"/>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14</w:t>
      </w:r>
      <w:r w:rsidRPr="004170B1">
        <w:fldChar w:fldCharType="end"/>
      </w:r>
      <w:r w:rsidRPr="004170B1">
        <w:t>.  </w:t>
      </w:r>
      <w:bookmarkStart w:id="17" w:name="_Hlk36127606"/>
      <w:r w:rsidRPr="004170B1">
        <w:t>Constatant que la requête n</w:t>
      </w:r>
      <w:r w:rsidR="004170B1" w:rsidRPr="004170B1">
        <w:t>’</w:t>
      </w:r>
      <w:r w:rsidRPr="004170B1">
        <w:t>est pas manifestement mal fondée ni irrecevable pour un autre motif visé à l</w:t>
      </w:r>
      <w:r w:rsidR="004170B1" w:rsidRPr="004170B1">
        <w:t>’</w:t>
      </w:r>
      <w:r w:rsidRPr="004170B1">
        <w:t>article 35 de la Convention, la Cour la déclare recevable.</w:t>
      </w:r>
      <w:bookmarkEnd w:id="17"/>
    </w:p>
    <w:p w:rsidR="004F0A7A" w:rsidRPr="004170B1" w:rsidRDefault="004F0A7A" w:rsidP="004170B1">
      <w:pPr>
        <w:pStyle w:val="JuHA"/>
      </w:pPr>
      <w:bookmarkStart w:id="18" w:name="_Hlk36127650"/>
      <w:r w:rsidRPr="004170B1">
        <w:t>Sur le fond</w:t>
      </w:r>
      <w:bookmarkEnd w:id="18"/>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15</w:t>
      </w:r>
      <w:r w:rsidRPr="004170B1">
        <w:fldChar w:fldCharType="end"/>
      </w:r>
      <w:r w:rsidRPr="004170B1">
        <w:t>.  Le requérant alléguait qu</w:t>
      </w:r>
      <w:r w:rsidR="004170B1" w:rsidRPr="004170B1">
        <w:t>’</w:t>
      </w:r>
      <w:r w:rsidRPr="004170B1">
        <w:t>en omettant d</w:t>
      </w:r>
      <w:r w:rsidR="004170B1" w:rsidRPr="004170B1">
        <w:t>’</w:t>
      </w:r>
      <w:r w:rsidRPr="004170B1">
        <w:t>entendre le témoin A., dont les déclarations avaient été selon lui déterminantes dans sa condamnation pour concussion relativement aux faits de juin 2006, la cour d</w:t>
      </w:r>
      <w:r w:rsidR="004170B1" w:rsidRPr="004170B1">
        <w:t>’</w:t>
      </w:r>
      <w:r w:rsidRPr="004170B1">
        <w:t>appel de Turin avait méconnu son droit à un procès équitable.</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16</w:t>
      </w:r>
      <w:r w:rsidRPr="004170B1">
        <w:fldChar w:fldCharType="end"/>
      </w:r>
      <w:r w:rsidRPr="004170B1">
        <w:t>.  Le Gouvernement argue que, dans la présente affaire, la cour d</w:t>
      </w:r>
      <w:r w:rsidR="004170B1" w:rsidRPr="004170B1">
        <w:t>’</w:t>
      </w:r>
      <w:r w:rsidRPr="004170B1">
        <w:t>appel a fondé son verdict de culpabilité sur plusieurs éléments de preuve, dont le témoignage de A. aurait certes fait partie, mais sans être exclusif ni déterminant. Il soutient que la cour d</w:t>
      </w:r>
      <w:r w:rsidR="004170B1" w:rsidRPr="004170B1">
        <w:t>’</w:t>
      </w:r>
      <w:r w:rsidRPr="004170B1">
        <w:t>appel a procédé à un examen critique et approfondi de la motivation du jugement du tribunal et qu</w:t>
      </w:r>
      <w:r w:rsidR="004170B1" w:rsidRPr="004170B1">
        <w:t>’</w:t>
      </w:r>
      <w:r w:rsidRPr="004170B1">
        <w:t>elle a corrigé par son arrêt les erreurs commises en première instance.</w:t>
      </w:r>
    </w:p>
    <w:bookmarkStart w:id="19" w:name="_Hlk36127691"/>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17</w:t>
      </w:r>
      <w:r w:rsidRPr="004170B1">
        <w:fldChar w:fldCharType="end"/>
      </w:r>
      <w:r w:rsidRPr="004170B1">
        <w:t>.  La Cour renvoie aux principes généraux régissant les modalités d</w:t>
      </w:r>
      <w:r w:rsidR="004170B1" w:rsidRPr="004170B1">
        <w:t>’</w:t>
      </w:r>
      <w:r w:rsidRPr="004170B1">
        <w:t>application de l</w:t>
      </w:r>
      <w:r w:rsidR="004170B1" w:rsidRPr="004170B1">
        <w:t>’</w:t>
      </w:r>
      <w:r w:rsidRPr="004170B1">
        <w:t>article 6 de la Convention aux procédures d</w:t>
      </w:r>
      <w:r w:rsidR="004170B1" w:rsidRPr="004170B1">
        <w:t>’</w:t>
      </w:r>
      <w:r w:rsidRPr="004170B1">
        <w:t>appel, tels qu</w:t>
      </w:r>
      <w:r w:rsidR="004170B1" w:rsidRPr="004170B1">
        <w:t>’</w:t>
      </w:r>
      <w:r w:rsidRPr="004170B1">
        <w:t xml:space="preserve">ils sont rappelés dans les arrêts </w:t>
      </w:r>
      <w:r w:rsidRPr="004170B1">
        <w:rPr>
          <w:i/>
          <w:iCs/>
        </w:rPr>
        <w:t>Dan c. Moldova</w:t>
      </w:r>
      <w:r w:rsidRPr="004170B1">
        <w:t xml:space="preserve"> (n</w:t>
      </w:r>
      <w:r w:rsidRPr="004170B1">
        <w:rPr>
          <w:vertAlign w:val="superscript"/>
        </w:rPr>
        <w:t>o</w:t>
      </w:r>
      <w:r w:rsidRPr="004170B1">
        <w:t xml:space="preserve"> 8999/07, § 30, 5 juillet 2011), </w:t>
      </w:r>
      <w:r w:rsidRPr="004170B1">
        <w:rPr>
          <w:i/>
          <w:iCs/>
        </w:rPr>
        <w:t>Lorefice</w:t>
      </w:r>
      <w:r w:rsidRPr="004170B1">
        <w:t xml:space="preserve"> (précité, § 36), et </w:t>
      </w:r>
      <w:r w:rsidRPr="004170B1">
        <w:rPr>
          <w:i/>
          <w:iCs/>
        </w:rPr>
        <w:t>Tondo c. Italie</w:t>
      </w:r>
      <w:r w:rsidRPr="004170B1">
        <w:t xml:space="preserve"> ([comité], n</w:t>
      </w:r>
      <w:r w:rsidRPr="004170B1">
        <w:rPr>
          <w:vertAlign w:val="superscript"/>
        </w:rPr>
        <w:t>o</w:t>
      </w:r>
      <w:r w:rsidRPr="004170B1">
        <w:t> 75037/14, §§ 38-39, 22 octobre 2020).</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18</w:t>
      </w:r>
      <w:r w:rsidRPr="004170B1">
        <w:fldChar w:fldCharType="end"/>
      </w:r>
      <w:r w:rsidRPr="004170B1">
        <w:t>.  Elle observe que la cour d</w:t>
      </w:r>
      <w:r w:rsidR="004170B1" w:rsidRPr="004170B1">
        <w:t>’</w:t>
      </w:r>
      <w:r w:rsidRPr="004170B1">
        <w:t>appel de Turin a reconnu le requérant coupable des faits de concussion de juin 2006 à l</w:t>
      </w:r>
      <w:r w:rsidR="004170B1" w:rsidRPr="004170B1">
        <w:t>’</w:t>
      </w:r>
      <w:r w:rsidRPr="004170B1">
        <w:t>égard desquels il avait été relaxé en première instance et qu</w:t>
      </w:r>
      <w:r w:rsidR="004170B1" w:rsidRPr="004170B1">
        <w:t>’</w:t>
      </w:r>
      <w:r w:rsidRPr="004170B1">
        <w:t>elle a fondé son verdict de manière déterminante sur le compte rendu des déclarations de la victime de l</w:t>
      </w:r>
      <w:r w:rsidR="004170B1" w:rsidRPr="004170B1">
        <w:t>’</w:t>
      </w:r>
      <w:r w:rsidRPr="004170B1">
        <w:t>infraction, A. Or le tribunal de Cuneo avait considéré que les déclarations de ce témoin étaient insuffisantes pour fonder un verdict de culpabilité, compte tenu notamment des incohérences qu</w:t>
      </w:r>
      <w:r w:rsidR="004170B1" w:rsidRPr="004170B1">
        <w:t>’</w:t>
      </w:r>
      <w:r w:rsidRPr="004170B1">
        <w:t>elles présentaient.</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19</w:t>
      </w:r>
      <w:r w:rsidRPr="004170B1">
        <w:fldChar w:fldCharType="end"/>
      </w:r>
      <w:r w:rsidRPr="004170B1">
        <w:t>.  Par ailleurs, d</w:t>
      </w:r>
      <w:r w:rsidR="004170B1" w:rsidRPr="004170B1">
        <w:t>’</w:t>
      </w:r>
      <w:r w:rsidRPr="004170B1">
        <w:t>autres preuves avaient corroboré l</w:t>
      </w:r>
      <w:r w:rsidR="004170B1" w:rsidRPr="004170B1">
        <w:t>’</w:t>
      </w:r>
      <w:r w:rsidRPr="004170B1">
        <w:t>accusation, et il appartenait à la cour d</w:t>
      </w:r>
      <w:r w:rsidR="004170B1" w:rsidRPr="004170B1">
        <w:t>’</w:t>
      </w:r>
      <w:r w:rsidRPr="004170B1">
        <w:t>appel d</w:t>
      </w:r>
      <w:r w:rsidR="004170B1" w:rsidRPr="004170B1">
        <w:t>’</w:t>
      </w:r>
      <w:r w:rsidRPr="004170B1">
        <w:t>apprécier les différents éléments recueillis. Néanmoins, c</w:t>
      </w:r>
      <w:r w:rsidR="004170B1" w:rsidRPr="004170B1">
        <w:t>’</w:t>
      </w:r>
      <w:r w:rsidRPr="004170B1">
        <w:t>est sur la base d</w:t>
      </w:r>
      <w:r w:rsidR="004170B1" w:rsidRPr="004170B1">
        <w:t>’</w:t>
      </w:r>
      <w:r w:rsidRPr="004170B1">
        <w:t>une nouvelle interprétation du témoignage de A.</w:t>
      </w:r>
      <w:r w:rsidRPr="004170B1" w:rsidDel="005254FF">
        <w:t xml:space="preserve"> </w:t>
      </w:r>
      <w:r w:rsidRPr="004170B1">
        <w:t>qu</w:t>
      </w:r>
      <w:r w:rsidR="004170B1" w:rsidRPr="004170B1">
        <w:t>’</w:t>
      </w:r>
      <w:r w:rsidRPr="004170B1">
        <w:t>elle a reconnu le requérant coupable. Dès lors, en rendant un verdict de culpabilité sans avoir entendu ce témoin, elle a porté une atteinte significative aux droits de la défense.</w:t>
      </w:r>
    </w:p>
    <w:bookmarkEnd w:id="19"/>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20</w:t>
      </w:r>
      <w:r w:rsidRPr="004170B1">
        <w:fldChar w:fldCharType="end"/>
      </w:r>
      <w:r w:rsidRPr="004170B1">
        <w:t>.  </w:t>
      </w:r>
      <w:bookmarkStart w:id="20" w:name="_Hlk36127749"/>
      <w:r w:rsidRPr="004170B1">
        <w:t>Partant, il y a eu violation de l</w:t>
      </w:r>
      <w:r w:rsidR="004170B1" w:rsidRPr="004170B1">
        <w:t>’</w:t>
      </w:r>
      <w:r w:rsidRPr="004170B1">
        <w:t>article 6 § 1 de la Convention</w:t>
      </w:r>
      <w:bookmarkEnd w:id="20"/>
      <w:r w:rsidRPr="004170B1">
        <w:t>.</w:t>
      </w:r>
    </w:p>
    <w:bookmarkEnd w:id="10"/>
    <w:p w:rsidR="004F0A7A" w:rsidRPr="004170B1" w:rsidRDefault="004F0A7A" w:rsidP="004170B1">
      <w:pPr>
        <w:pStyle w:val="JuHIRoman"/>
      </w:pPr>
      <w:r w:rsidRPr="004170B1">
        <w:t>SUR L</w:t>
      </w:r>
      <w:r w:rsidR="004170B1" w:rsidRPr="004170B1">
        <w:t>’</w:t>
      </w:r>
      <w:r w:rsidRPr="004170B1">
        <w:t>APPLICATION DE L</w:t>
      </w:r>
      <w:r w:rsidR="004170B1" w:rsidRPr="004170B1">
        <w:t>’</w:t>
      </w:r>
      <w:r w:rsidRPr="004170B1">
        <w:t>ARTICLE 41 DE LA CONVENTION</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21</w:t>
      </w:r>
      <w:r w:rsidRPr="004170B1">
        <w:fldChar w:fldCharType="end"/>
      </w:r>
      <w:r w:rsidRPr="004170B1">
        <w:t>.  </w:t>
      </w:r>
      <w:bookmarkStart w:id="21" w:name="_Hlk36128236"/>
      <w:r w:rsidRPr="004170B1">
        <w:t>Aux termes de l</w:t>
      </w:r>
      <w:r w:rsidR="004170B1" w:rsidRPr="004170B1">
        <w:t>’</w:t>
      </w:r>
      <w:r w:rsidRPr="004170B1">
        <w:t>article 41 de la Convention :</w:t>
      </w:r>
      <w:bookmarkEnd w:id="21"/>
    </w:p>
    <w:p w:rsidR="004F0A7A" w:rsidRPr="004170B1" w:rsidRDefault="004F0A7A" w:rsidP="004170B1">
      <w:pPr>
        <w:pStyle w:val="JuQuot"/>
      </w:pPr>
      <w:bookmarkStart w:id="22" w:name="_Hlk36128242"/>
      <w:r w:rsidRPr="004170B1">
        <w:t>« Si la Cour déclare qu</w:t>
      </w:r>
      <w:r w:rsidR="004170B1" w:rsidRPr="004170B1">
        <w:t>’</w:t>
      </w:r>
      <w:r w:rsidRPr="004170B1">
        <w:t>il y a eu violation de la Convention ou de ses Protocoles, et si le droit interne de la Haute Partie contractante ne permet d</w:t>
      </w:r>
      <w:r w:rsidR="004170B1" w:rsidRPr="004170B1">
        <w:t>’</w:t>
      </w:r>
      <w:r w:rsidRPr="004170B1">
        <w:t>effacer qu</w:t>
      </w:r>
      <w:r w:rsidR="004170B1" w:rsidRPr="004170B1">
        <w:t>’</w:t>
      </w:r>
      <w:r w:rsidRPr="004170B1">
        <w:t>imparfaitement les conséquences de cette violation, la Cour accorde à la partie lésée, s</w:t>
      </w:r>
      <w:r w:rsidR="004170B1" w:rsidRPr="004170B1">
        <w:t>’</w:t>
      </w:r>
      <w:r w:rsidRPr="004170B1">
        <w:t>il y a lieu, une satisfaction équitable. »</w:t>
      </w:r>
      <w:bookmarkEnd w:id="22"/>
    </w:p>
    <w:p w:rsidR="004F0A7A" w:rsidRPr="004170B1" w:rsidRDefault="004F0A7A" w:rsidP="004170B1">
      <w:pPr>
        <w:pStyle w:val="JuHA"/>
      </w:pPr>
      <w:r w:rsidRPr="004170B1">
        <w:lastRenderedPageBreak/>
        <w:t>Dommage</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22</w:t>
      </w:r>
      <w:r w:rsidRPr="004170B1">
        <w:fldChar w:fldCharType="end"/>
      </w:r>
      <w:r w:rsidRPr="004170B1">
        <w:t>.  Les héritiers du requérant demandent 104 000 euros (EUR) pour dommage matériel. Ils exposent que cette somme correspond au dédommagement que le requérant a dû verser à la partie civile.</w:t>
      </w:r>
      <w:r w:rsidRPr="004170B1">
        <w:rPr>
          <w:rFonts w:ascii="Arial" w:hAnsi="Arial" w:cs="Arial"/>
          <w:color w:val="000000"/>
        </w:rPr>
        <w:t xml:space="preserve"> </w:t>
      </w:r>
      <w:r w:rsidRPr="004170B1">
        <w:t>Ils demandent également 40 000 EUR pour dommage moral.</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23</w:t>
      </w:r>
      <w:r w:rsidRPr="004170B1">
        <w:fldChar w:fldCharType="end"/>
      </w:r>
      <w:r w:rsidRPr="004170B1">
        <w:t>.  Le Gouvernement s</w:t>
      </w:r>
      <w:r w:rsidR="004170B1" w:rsidRPr="004170B1">
        <w:t>’</w:t>
      </w:r>
      <w:r w:rsidRPr="004170B1">
        <w:t>oppose à ces demandes.</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24</w:t>
      </w:r>
      <w:r w:rsidRPr="004170B1">
        <w:fldChar w:fldCharType="end"/>
      </w:r>
      <w:r w:rsidRPr="004170B1">
        <w:t>.  La Cour note qu</w:t>
      </w:r>
      <w:r w:rsidR="004170B1" w:rsidRPr="004170B1">
        <w:t>’</w:t>
      </w:r>
      <w:r w:rsidRPr="004170B1">
        <w:t>en l</w:t>
      </w:r>
      <w:r w:rsidR="004170B1" w:rsidRPr="004170B1">
        <w:t>’</w:t>
      </w:r>
      <w:r w:rsidRPr="004170B1">
        <w:t>espèce la seule base à retenir pour l</w:t>
      </w:r>
      <w:r w:rsidR="004170B1" w:rsidRPr="004170B1">
        <w:t>’</w:t>
      </w:r>
      <w:r w:rsidRPr="004170B1">
        <w:t>octroi d</w:t>
      </w:r>
      <w:r w:rsidR="004170B1" w:rsidRPr="004170B1">
        <w:t>’</w:t>
      </w:r>
      <w:r w:rsidRPr="004170B1">
        <w:t>une satisfaction équitable réside dans le fait que le requérant n</w:t>
      </w:r>
      <w:r w:rsidR="004170B1" w:rsidRPr="004170B1">
        <w:t>’</w:t>
      </w:r>
      <w:r w:rsidRPr="004170B1">
        <w:t>a pas bénéficié des garanties d</w:t>
      </w:r>
      <w:r w:rsidR="004170B1" w:rsidRPr="004170B1">
        <w:t>’</w:t>
      </w:r>
      <w:r w:rsidRPr="004170B1">
        <w:t>un procès équitable au sens de l</w:t>
      </w:r>
      <w:r w:rsidR="004170B1" w:rsidRPr="004170B1">
        <w:t>’</w:t>
      </w:r>
      <w:r w:rsidRPr="004170B1">
        <w:t>article 6 § 1 de la Convention. En ce qui concerne le dommage matériel allégué, elle ne saurait spéculer sur le résultat auquel la procédure aurait abouti si la violation constatée n</w:t>
      </w:r>
      <w:r w:rsidR="004170B1" w:rsidRPr="004170B1">
        <w:t>’</w:t>
      </w:r>
      <w:r w:rsidRPr="004170B1">
        <w:t xml:space="preserve">avait pas eu lieu (voir, </w:t>
      </w:r>
      <w:r w:rsidRPr="004170B1">
        <w:rPr>
          <w:i/>
          <w:iCs/>
        </w:rPr>
        <w:t>mutatis mutandis</w:t>
      </w:r>
      <w:r w:rsidRPr="004170B1">
        <w:t>,</w:t>
      </w:r>
      <w:r w:rsidRPr="004170B1">
        <w:rPr>
          <w:i/>
          <w:iCs/>
        </w:rPr>
        <w:t xml:space="preserve"> Alexe</w:t>
      </w:r>
      <w:r w:rsidR="0029613F" w:rsidRPr="004170B1">
        <w:rPr>
          <w:i/>
          <w:iCs/>
        </w:rPr>
        <w:t> </w:t>
      </w:r>
      <w:r w:rsidRPr="004170B1">
        <w:rPr>
          <w:i/>
          <w:iCs/>
        </w:rPr>
        <w:t>c. Roumanie</w:t>
      </w:r>
      <w:r w:rsidRPr="004170B1">
        <w:t>, n</w:t>
      </w:r>
      <w:r w:rsidRPr="004170B1">
        <w:rPr>
          <w:vertAlign w:val="superscript"/>
        </w:rPr>
        <w:t>o</w:t>
      </w:r>
      <w:r w:rsidRPr="004170B1">
        <w:t> 66522/09, § 48, 3 mai 2016). Il n</w:t>
      </w:r>
      <w:r w:rsidR="004170B1" w:rsidRPr="004170B1">
        <w:t>’</w:t>
      </w:r>
      <w:r w:rsidRPr="004170B1">
        <w:t>y a dès lors pas lieu d</w:t>
      </w:r>
      <w:r w:rsidR="004170B1" w:rsidRPr="004170B1">
        <w:t>’</w:t>
      </w:r>
      <w:r w:rsidRPr="004170B1">
        <w:t>accorder d</w:t>
      </w:r>
      <w:r w:rsidR="004170B1" w:rsidRPr="004170B1">
        <w:t>’</w:t>
      </w:r>
      <w:r w:rsidRPr="004170B1">
        <w:t>indemnité pour dommage matériel. En revanche, la Cour octroie la somme globale de 6 500 EUR au titre du dommage moral subi par le requérant.</w:t>
      </w:r>
    </w:p>
    <w:p w:rsidR="004F0A7A" w:rsidRPr="004170B1" w:rsidRDefault="004F0A7A" w:rsidP="004170B1">
      <w:pPr>
        <w:pStyle w:val="JuHA"/>
      </w:pPr>
      <w:r w:rsidRPr="004170B1">
        <w:t>Frais et dépens</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25</w:t>
      </w:r>
      <w:r w:rsidRPr="004170B1">
        <w:fldChar w:fldCharType="end"/>
      </w:r>
      <w:r w:rsidRPr="004170B1">
        <w:t>.  Les héritiers du requérant demandent 12 600 EUR pour les frais engagés dans le cadre de la procédure menée devant le tribunal de Cuneo et la cour d</w:t>
      </w:r>
      <w:r w:rsidR="004170B1" w:rsidRPr="004170B1">
        <w:t>’</w:t>
      </w:r>
      <w:r w:rsidRPr="004170B1">
        <w:t>appel de Turin. Ils produisent des justificatifs du paiement des honoraires d</w:t>
      </w:r>
      <w:r w:rsidR="004170B1" w:rsidRPr="004170B1">
        <w:t>’</w:t>
      </w:r>
      <w:r w:rsidRPr="004170B1">
        <w:t>avocat correspondants. Ils demandent également 18 300 EUR pour les frais exposés aux fins de la procédure menée devant la Cour.</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26</w:t>
      </w:r>
      <w:r w:rsidRPr="004170B1">
        <w:fldChar w:fldCharType="end"/>
      </w:r>
      <w:r w:rsidRPr="004170B1">
        <w:t>.  Le Gouvernement s</w:t>
      </w:r>
      <w:r w:rsidR="004170B1" w:rsidRPr="004170B1">
        <w:t>’</w:t>
      </w:r>
      <w:r w:rsidRPr="004170B1">
        <w:t>oppose à ces demandes.</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27</w:t>
      </w:r>
      <w:r w:rsidRPr="004170B1">
        <w:fldChar w:fldCharType="end"/>
      </w:r>
      <w:r w:rsidRPr="004170B1">
        <w:t>.  La Cour rappelle que, lorsqu</w:t>
      </w:r>
      <w:r w:rsidR="004170B1" w:rsidRPr="004170B1">
        <w:t>’</w:t>
      </w:r>
      <w:r w:rsidRPr="004170B1">
        <w:t>elle conclut à la violation de la Convention, elle peut accorder aux requérants le remboursement non seulement des frais et dépens qu</w:t>
      </w:r>
      <w:r w:rsidR="004170B1" w:rsidRPr="004170B1">
        <w:t>’</w:t>
      </w:r>
      <w:r w:rsidRPr="004170B1">
        <w:t>ils ont engagés devant elle, mais aussi de ceux exposés devant les juridictions internes pour prévenir ou faire corriger par celles-ci ladite violation (voir, par exemple, l</w:t>
      </w:r>
      <w:r w:rsidR="004170B1" w:rsidRPr="004170B1">
        <w:t>’</w:t>
      </w:r>
      <w:r w:rsidRPr="004170B1">
        <w:t xml:space="preserve">arrêt </w:t>
      </w:r>
      <w:r w:rsidRPr="004170B1">
        <w:rPr>
          <w:i/>
          <w:iCs/>
        </w:rPr>
        <w:t>Hertel c. Suisse</w:t>
      </w:r>
      <w:r w:rsidRPr="004170B1">
        <w:t xml:space="preserve">, 25 août 1998, </w:t>
      </w:r>
      <w:r w:rsidRPr="004170B1">
        <w:rPr>
          <w:i/>
          <w:iCs/>
        </w:rPr>
        <w:t xml:space="preserve">Recueil </w:t>
      </w:r>
      <w:r w:rsidRPr="004170B1">
        <w:rPr>
          <w:i/>
        </w:rPr>
        <w:t>des arrêts et décisions</w:t>
      </w:r>
      <w:r w:rsidRPr="004170B1">
        <w:t xml:space="preserve"> 1998</w:t>
      </w:r>
      <w:r w:rsidRPr="004170B1">
        <w:noBreakHyphen/>
        <w:t>VI), dès lors que leur nécessité est établie, que les justificatifs requis sont produits et que les sommes réclamées ne sont pas déraisonnables.</w:t>
      </w:r>
    </w:p>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28</w:t>
      </w:r>
      <w:r w:rsidRPr="004170B1">
        <w:fldChar w:fldCharType="end"/>
      </w:r>
      <w:r w:rsidRPr="004170B1">
        <w:t>.  Elle considère qu</w:t>
      </w:r>
      <w:r w:rsidR="004170B1" w:rsidRPr="004170B1">
        <w:t>’</w:t>
      </w:r>
      <w:r w:rsidRPr="004170B1">
        <w:t>il n</w:t>
      </w:r>
      <w:r w:rsidR="004170B1" w:rsidRPr="004170B1">
        <w:t>’</w:t>
      </w:r>
      <w:r w:rsidRPr="004170B1">
        <w:t>y a pas lieu en l</w:t>
      </w:r>
      <w:r w:rsidR="004170B1" w:rsidRPr="004170B1">
        <w:t>’</w:t>
      </w:r>
      <w:r w:rsidRPr="004170B1">
        <w:t>espèce de rembourser les frais afférents à la procédure menée devant le tribunal et la cour d</w:t>
      </w:r>
      <w:r w:rsidR="004170B1" w:rsidRPr="004170B1">
        <w:t>’</w:t>
      </w:r>
      <w:r w:rsidRPr="004170B1">
        <w:t>appel, car ils n</w:t>
      </w:r>
      <w:r w:rsidR="004170B1" w:rsidRPr="004170B1">
        <w:t>’</w:t>
      </w:r>
      <w:r w:rsidRPr="004170B1">
        <w:t>ont pas été engagés pour remédier à la violation constatée. Pour les frais relatifs à la procédure menée devant elle, elle estime raisonnable compte tenu des documents dont elle dispose et de sa jurisprudence d</w:t>
      </w:r>
      <w:r w:rsidR="004170B1" w:rsidRPr="004170B1">
        <w:t>’</w:t>
      </w:r>
      <w:r w:rsidRPr="004170B1">
        <w:t>allouer la somme de 3 500 EUR</w:t>
      </w:r>
      <w:bookmarkStart w:id="23" w:name="_Hlk58595599"/>
      <w:r w:rsidRPr="004170B1">
        <w:t>, plus tout montant pouvant être dû à titre d</w:t>
      </w:r>
      <w:r w:rsidR="004170B1" w:rsidRPr="004170B1">
        <w:t>’</w:t>
      </w:r>
      <w:r w:rsidRPr="004170B1">
        <w:t>impôt aux héritiers du requérant sur cette somme.</w:t>
      </w:r>
    </w:p>
    <w:bookmarkEnd w:id="23"/>
    <w:p w:rsidR="004F0A7A" w:rsidRPr="004170B1" w:rsidRDefault="004F0A7A" w:rsidP="004170B1">
      <w:pPr>
        <w:pStyle w:val="JuPara"/>
      </w:pPr>
      <w:r w:rsidRPr="004170B1">
        <w:fldChar w:fldCharType="begin"/>
      </w:r>
      <w:r w:rsidRPr="004170B1">
        <w:instrText xml:space="preserve"> SEQ level0 \*arabic </w:instrText>
      </w:r>
      <w:r w:rsidRPr="004170B1">
        <w:fldChar w:fldCharType="separate"/>
      </w:r>
      <w:r w:rsidR="004170B1" w:rsidRPr="004170B1">
        <w:rPr>
          <w:noProof/>
        </w:rPr>
        <w:t>29</w:t>
      </w:r>
      <w:r w:rsidRPr="004170B1">
        <w:fldChar w:fldCharType="end"/>
      </w:r>
      <w:r w:rsidRPr="004170B1">
        <w:t>.  Enfin, elle juge approprié de calquer le taux des intérêts moratoires sur le taux d</w:t>
      </w:r>
      <w:r w:rsidR="004170B1" w:rsidRPr="004170B1">
        <w:t>’</w:t>
      </w:r>
      <w:r w:rsidRPr="004170B1">
        <w:t>intérêt de la facilité de prêt marginal de la Banque centrale européenne majoré de trois points de pourcentage.</w:t>
      </w:r>
    </w:p>
    <w:p w:rsidR="004F0A7A" w:rsidRPr="004170B1" w:rsidRDefault="004F0A7A" w:rsidP="004170B1">
      <w:pPr>
        <w:pStyle w:val="JuHHead"/>
        <w:numPr>
          <w:ilvl w:val="0"/>
          <w:numId w:val="1"/>
        </w:numPr>
      </w:pPr>
      <w:r w:rsidRPr="004170B1">
        <w:lastRenderedPageBreak/>
        <w:t xml:space="preserve">PAR CES MOTIFS, LA COUR, </w:t>
      </w:r>
      <w:r w:rsidRPr="004170B1">
        <w:rPr>
          <w:caps w:val="0"/>
        </w:rPr>
        <w:t>À L</w:t>
      </w:r>
      <w:r w:rsidR="004170B1" w:rsidRPr="004170B1">
        <w:rPr>
          <w:caps w:val="0"/>
        </w:rPr>
        <w:t>’</w:t>
      </w:r>
      <w:r w:rsidRPr="004170B1">
        <w:rPr>
          <w:caps w:val="0"/>
        </w:rPr>
        <w:t>UNANIMITÉ</w:t>
      </w:r>
      <w:r w:rsidRPr="004170B1">
        <w:t>,</w:t>
      </w:r>
    </w:p>
    <w:p w:rsidR="004F0A7A" w:rsidRPr="004170B1" w:rsidRDefault="004F0A7A" w:rsidP="004170B1">
      <w:pPr>
        <w:pStyle w:val="JuList"/>
      </w:pPr>
      <w:bookmarkStart w:id="24" w:name="_Hlk73002783"/>
      <w:r w:rsidRPr="004170B1">
        <w:rPr>
          <w:i/>
          <w:iCs/>
        </w:rPr>
        <w:t>Dit</w:t>
      </w:r>
      <w:r w:rsidRPr="004170B1">
        <w:t xml:space="preserve"> que M</w:t>
      </w:r>
      <w:r w:rsidRPr="004170B1">
        <w:rPr>
          <w:vertAlign w:val="superscript"/>
        </w:rPr>
        <w:t>mes</w:t>
      </w:r>
      <w:r w:rsidRPr="004170B1">
        <w:t> Miranda Fulchini et Debora Morzenti et MM. Ermes et Jacopo Morzenti, héritiers de M. Giovanni Morzenti, ont qualité pour</w:t>
      </w:r>
      <w:bookmarkStart w:id="25" w:name="HIT12"/>
      <w:bookmarkEnd w:id="25"/>
      <w:r w:rsidRPr="004170B1">
        <w:t xml:space="preserve"> poursuivre la présente procédure ;</w:t>
      </w:r>
    </w:p>
    <w:p w:rsidR="004F0A7A" w:rsidRPr="004170B1" w:rsidRDefault="004F0A7A" w:rsidP="004170B1">
      <w:pPr>
        <w:pStyle w:val="JuList"/>
      </w:pPr>
      <w:r w:rsidRPr="004170B1">
        <w:rPr>
          <w:i/>
        </w:rPr>
        <w:t>Déclare</w:t>
      </w:r>
      <w:r w:rsidRPr="004170B1">
        <w:t xml:space="preserve"> la requête recevable ;</w:t>
      </w:r>
    </w:p>
    <w:p w:rsidR="004F0A7A" w:rsidRPr="004170B1" w:rsidRDefault="004F0A7A" w:rsidP="004170B1">
      <w:pPr>
        <w:pStyle w:val="JuList"/>
      </w:pPr>
      <w:r w:rsidRPr="004170B1">
        <w:rPr>
          <w:i/>
        </w:rPr>
        <w:t>Dit</w:t>
      </w:r>
      <w:r w:rsidRPr="004170B1">
        <w:t xml:space="preserve"> qu</w:t>
      </w:r>
      <w:r w:rsidR="004170B1" w:rsidRPr="004170B1">
        <w:t>’</w:t>
      </w:r>
      <w:r w:rsidRPr="004170B1">
        <w:t>il y a eu violation de l</w:t>
      </w:r>
      <w:r w:rsidR="004170B1" w:rsidRPr="004170B1">
        <w:t>’</w:t>
      </w:r>
      <w:r w:rsidRPr="004170B1">
        <w:t>article 6 § 1 de la Convention ;</w:t>
      </w:r>
    </w:p>
    <w:p w:rsidR="004170B1" w:rsidRPr="004170B1" w:rsidRDefault="004170B1" w:rsidP="004170B1">
      <w:pPr>
        <w:pStyle w:val="JuList"/>
      </w:pPr>
      <w:r w:rsidRPr="004170B1">
        <w:rPr>
          <w:i/>
          <w:iCs/>
        </w:rPr>
        <w:t>Dit</w:t>
      </w:r>
    </w:p>
    <w:p w:rsidR="004F0A7A" w:rsidRPr="004170B1" w:rsidRDefault="004F0A7A" w:rsidP="004170B1">
      <w:pPr>
        <w:pStyle w:val="JuLista"/>
      </w:pPr>
      <w:r w:rsidRPr="004170B1">
        <w:t>que l</w:t>
      </w:r>
      <w:r w:rsidR="004170B1" w:rsidRPr="004170B1">
        <w:t>’</w:t>
      </w:r>
      <w:r w:rsidRPr="004170B1">
        <w:t>État défendeur doit verser aux héritiers du requérant, dans un délai de trois mois, les sommes suivantes :</w:t>
      </w:r>
    </w:p>
    <w:p w:rsidR="004F0A7A" w:rsidRPr="004170B1" w:rsidRDefault="001F548F" w:rsidP="004170B1">
      <w:pPr>
        <w:pStyle w:val="JuListi"/>
      </w:pPr>
      <w:r w:rsidRPr="004170B1">
        <w:t xml:space="preserve"> </w:t>
      </w:r>
      <w:r w:rsidR="004F0A7A" w:rsidRPr="004170B1">
        <w:t>6 500 EUR (six mille cinq cents euros), conjointement, plus tout montant pouvant être dû à titre d</w:t>
      </w:r>
      <w:r w:rsidR="004170B1" w:rsidRPr="004170B1">
        <w:t>’</w:t>
      </w:r>
      <w:r w:rsidR="004F0A7A" w:rsidRPr="004170B1">
        <w:t>impôt sur cette somme, pour dommage moral ;</w:t>
      </w:r>
    </w:p>
    <w:p w:rsidR="004F0A7A" w:rsidRPr="004170B1" w:rsidRDefault="004F0A7A" w:rsidP="004170B1">
      <w:pPr>
        <w:pStyle w:val="JuListi"/>
      </w:pPr>
      <w:r w:rsidRPr="004170B1">
        <w:t>3 500 EUR (trois mille cinq cents euros), conjointement, plus tout montant pouvant être dû par eux à titre d</w:t>
      </w:r>
      <w:r w:rsidR="004170B1" w:rsidRPr="004170B1">
        <w:t>’</w:t>
      </w:r>
      <w:r w:rsidRPr="004170B1">
        <w:t>impôt sur cette somme, pour frais et dépens ;</w:t>
      </w:r>
    </w:p>
    <w:p w:rsidR="004F0A7A" w:rsidRPr="004170B1" w:rsidRDefault="004F0A7A" w:rsidP="004170B1">
      <w:pPr>
        <w:pStyle w:val="JuLista"/>
      </w:pPr>
      <w:r w:rsidRPr="004170B1">
        <w:t>qu</w:t>
      </w:r>
      <w:r w:rsidR="004170B1" w:rsidRPr="004170B1">
        <w:t>’</w:t>
      </w:r>
      <w:r w:rsidRPr="004170B1">
        <w:t>à compter de l</w:t>
      </w:r>
      <w:r w:rsidR="004170B1" w:rsidRPr="004170B1">
        <w:t>’</w:t>
      </w:r>
      <w:r w:rsidRPr="004170B1">
        <w:t>expiration dudit délai et jusqu</w:t>
      </w:r>
      <w:r w:rsidR="004170B1" w:rsidRPr="004170B1">
        <w:t>’</w:t>
      </w:r>
      <w:r w:rsidRPr="004170B1">
        <w:t>au versement, ces montants seront à majorer d</w:t>
      </w:r>
      <w:r w:rsidR="004170B1" w:rsidRPr="004170B1">
        <w:t>’</w:t>
      </w:r>
      <w:r w:rsidRPr="004170B1">
        <w:t>un intérêt simple à un taux égal à celui de la facilité de prêt marginal de la Banque centrale européenne applicable pendant cette période, augmenté de trois points de pourcentage ;</w:t>
      </w:r>
    </w:p>
    <w:p w:rsidR="00876F03" w:rsidRPr="004170B1" w:rsidRDefault="004F0A7A" w:rsidP="004170B1">
      <w:pPr>
        <w:pStyle w:val="JuList"/>
      </w:pPr>
      <w:r w:rsidRPr="004170B1">
        <w:rPr>
          <w:i/>
        </w:rPr>
        <w:t>Rejette</w:t>
      </w:r>
      <w:r w:rsidRPr="004170B1">
        <w:t xml:space="preserve"> le surplus de la demande de satisfaction équitable</w:t>
      </w:r>
      <w:bookmarkEnd w:id="24"/>
      <w:r w:rsidRPr="004170B1">
        <w:t>.</w:t>
      </w:r>
    </w:p>
    <w:p w:rsidR="00893F30" w:rsidRPr="004170B1" w:rsidRDefault="00893F30" w:rsidP="004170B1">
      <w:pPr>
        <w:pStyle w:val="JuParaLast"/>
      </w:pPr>
      <w:r w:rsidRPr="004170B1">
        <w:t xml:space="preserve">Fait en français, puis communiqué par écrit le </w:t>
      </w:r>
      <w:r w:rsidR="004F0A7A" w:rsidRPr="004170B1">
        <w:t>17 juin 2021</w:t>
      </w:r>
      <w:r w:rsidRPr="004170B1">
        <w:t>, en application de l</w:t>
      </w:r>
      <w:r w:rsidR="004170B1" w:rsidRPr="004170B1">
        <w:t>’</w:t>
      </w:r>
      <w:r w:rsidRPr="004170B1">
        <w:t>article 77 §§ 2 et 3 du règlement.</w:t>
      </w:r>
    </w:p>
    <w:p w:rsidR="004F0A7A" w:rsidRPr="004170B1" w:rsidRDefault="00F94531" w:rsidP="004170B1">
      <w:pPr>
        <w:pStyle w:val="JuSigned"/>
        <w:keepNext/>
        <w:keepLines/>
        <w:rPr>
          <w:color w:val="F8F8F8" w:themeColor="background2"/>
        </w:rPr>
      </w:pPr>
      <w:r w:rsidRPr="004170B1">
        <w:rPr>
          <w:color w:val="F8F8F8" w:themeColor="background2"/>
        </w:rPr>
        <w:tab/>
        <w:t xml:space="preserve"> {signature_p_2}</w:t>
      </w:r>
    </w:p>
    <w:p w:rsidR="00876F03" w:rsidRPr="004170B1" w:rsidRDefault="005F7D90" w:rsidP="004170B1">
      <w:pPr>
        <w:pStyle w:val="JuSigned"/>
      </w:pPr>
      <w:r w:rsidRPr="004170B1">
        <w:tab/>
      </w:r>
      <w:r w:rsidR="004F0A7A" w:rsidRPr="004170B1">
        <w:t>Liv Tigerstedt</w:t>
      </w:r>
      <w:r w:rsidR="004344E6" w:rsidRPr="004170B1">
        <w:tab/>
      </w:r>
      <w:r w:rsidR="004F0A7A" w:rsidRPr="004170B1">
        <w:t xml:space="preserve">Alena Poláčková </w:t>
      </w:r>
      <w:r w:rsidR="004344E6" w:rsidRPr="004170B1">
        <w:br/>
      </w:r>
      <w:r w:rsidR="004344E6" w:rsidRPr="004170B1">
        <w:tab/>
      </w:r>
      <w:r w:rsidR="004F0A7A" w:rsidRPr="004170B1">
        <w:t>Greffière adjointe</w:t>
      </w:r>
      <w:r w:rsidR="004344E6" w:rsidRPr="004170B1">
        <w:tab/>
      </w:r>
      <w:r w:rsidR="004F0A7A" w:rsidRPr="004170B1">
        <w:t>Présidente</w:t>
      </w:r>
    </w:p>
    <w:sectPr w:rsidR="00876F03" w:rsidRPr="004170B1">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455" w:rsidRPr="004F0A7A" w:rsidRDefault="008F7455" w:rsidP="00516B59">
      <w:r w:rsidRPr="004F0A7A">
        <w:separator/>
      </w:r>
    </w:p>
  </w:endnote>
  <w:endnote w:type="continuationSeparator" w:id="0">
    <w:p w:rsidR="008F7455" w:rsidRPr="004F0A7A" w:rsidRDefault="008F7455" w:rsidP="00516B59">
      <w:r w:rsidRPr="004F0A7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AD6" w:rsidRPr="004F0A7A" w:rsidRDefault="004F0A7A"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7A" w:rsidRPr="00150BFA" w:rsidRDefault="004F0A7A" w:rsidP="0020718E">
    <w:pPr>
      <w:jc w:val="center"/>
    </w:pPr>
    <w:r>
      <w:rPr>
        <w:noProof/>
        <w:lang w:val="en-US" w:eastAsia="ja-JP"/>
      </w:rPr>
      <w:drawing>
        <wp:inline distT="0" distB="0" distL="0" distR="0" wp14:anchorId="1886F865" wp14:editId="0CF3E687">
          <wp:extent cx="771525" cy="619125"/>
          <wp:effectExtent l="0" t="0" r="9525" b="9525"/>
          <wp:docPr id="12" name="Picture 12"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4F0A7A" w:rsidRDefault="008F7455"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7A" w:rsidRPr="00150BFA" w:rsidRDefault="004F0A7A" w:rsidP="0020718E">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02601" w:rsidRPr="004F0A7A" w:rsidRDefault="00902601"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D01935" w:rsidRDefault="004F0A7A"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455" w:rsidRPr="004F0A7A" w:rsidRDefault="008F7455" w:rsidP="00516B59">
      <w:r w:rsidRPr="004F0A7A">
        <w:separator/>
      </w:r>
    </w:p>
  </w:footnote>
  <w:footnote w:type="continuationSeparator" w:id="0">
    <w:p w:rsidR="008F7455" w:rsidRPr="004F0A7A" w:rsidRDefault="008F7455" w:rsidP="00516B59">
      <w:r w:rsidRPr="004F0A7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7A" w:rsidRPr="00A45145" w:rsidRDefault="004F0A7A" w:rsidP="00A45145">
    <w:pPr>
      <w:jc w:val="center"/>
    </w:pPr>
    <w:r>
      <w:rPr>
        <w:noProof/>
        <w:lang w:val="en-US" w:eastAsia="ja-JP"/>
      </w:rPr>
      <w:drawing>
        <wp:inline distT="0" distB="0" distL="0" distR="0" wp14:anchorId="37609D74" wp14:editId="10854475">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4F0A7A" w:rsidRDefault="008F7455" w:rsidP="009840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A7A" w:rsidRPr="00A45145" w:rsidRDefault="004F0A7A" w:rsidP="00A45145">
    <w:pPr>
      <w:jc w:val="center"/>
    </w:pPr>
    <w:r>
      <w:rPr>
        <w:noProof/>
        <w:lang w:val="en-US" w:eastAsia="ja-JP"/>
      </w:rPr>
      <w:drawing>
        <wp:inline distT="0" distB="0" distL="0" distR="0" wp14:anchorId="37609D74" wp14:editId="10854475">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02601" w:rsidRPr="004F0A7A" w:rsidRDefault="00902601"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592C8D" w:rsidRDefault="00A21624" w:rsidP="00A21624">
    <w:pPr>
      <w:pStyle w:val="JuHeader"/>
      <w:rPr>
        <w:lang w:val="en-US"/>
      </w:rPr>
    </w:pPr>
    <w:r w:rsidRPr="00592C8D">
      <w:rPr>
        <w:lang w:val="en-US"/>
      </w:rPr>
      <w:t>ARRÊT</w:t>
    </w:r>
    <w:r w:rsidR="00256F45" w:rsidRPr="00592C8D">
      <w:rPr>
        <w:lang w:val="en-US"/>
      </w:rPr>
      <w:t xml:space="preserve"> </w:t>
    </w:r>
    <w:r w:rsidR="004F0A7A">
      <w:rPr>
        <w:lang w:val="en-US"/>
      </w:rPr>
      <w:t>MORZENTI c. ITALIE</w:t>
    </w:r>
    <w:r w:rsidR="004F0A7A"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D5C" w:rsidRPr="00662882" w:rsidRDefault="00256F45" w:rsidP="00662882">
    <w:pPr>
      <w:pStyle w:val="JuHeader"/>
    </w:pPr>
    <w:r w:rsidRPr="00592C8D">
      <w:rPr>
        <w:lang w:val="en-US"/>
      </w:rPr>
      <w:t>ARRÊT</w:t>
    </w:r>
    <w:r w:rsidR="00162967" w:rsidRPr="00592C8D">
      <w:rPr>
        <w:lang w:val="en-US"/>
      </w:rPr>
      <w:t xml:space="preserve"> </w:t>
    </w:r>
    <w:r w:rsidR="004F0A7A">
      <w:rPr>
        <w:lang w:val="en-US"/>
      </w:rPr>
      <w:t>MORZENTI c. ITALIE</w:t>
    </w:r>
    <w:r w:rsidR="007971FF"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4F0A7A"/>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0EB"/>
    <w:rsid w:val="000A24EB"/>
    <w:rsid w:val="000B5D17"/>
    <w:rsid w:val="000B6923"/>
    <w:rsid w:val="000C5F3C"/>
    <w:rsid w:val="000C6DCC"/>
    <w:rsid w:val="000D04C2"/>
    <w:rsid w:val="000D47AA"/>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548F"/>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4EA6"/>
    <w:rsid w:val="0023575D"/>
    <w:rsid w:val="00237148"/>
    <w:rsid w:val="0024222D"/>
    <w:rsid w:val="00244B0E"/>
    <w:rsid w:val="00244F6C"/>
    <w:rsid w:val="002532C5"/>
    <w:rsid w:val="002546AE"/>
    <w:rsid w:val="00256F45"/>
    <w:rsid w:val="00260C03"/>
    <w:rsid w:val="0026540E"/>
    <w:rsid w:val="00275123"/>
    <w:rsid w:val="00282240"/>
    <w:rsid w:val="002840BD"/>
    <w:rsid w:val="002948AD"/>
    <w:rsid w:val="0029613F"/>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5C29"/>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170B1"/>
    <w:rsid w:val="0042151A"/>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F0A7A"/>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348D"/>
    <w:rsid w:val="005846F3"/>
    <w:rsid w:val="00592772"/>
    <w:rsid w:val="00592C8D"/>
    <w:rsid w:val="0059574A"/>
    <w:rsid w:val="005A1B9B"/>
    <w:rsid w:val="005A6751"/>
    <w:rsid w:val="005B092E"/>
    <w:rsid w:val="005B152C"/>
    <w:rsid w:val="005B1EE0"/>
    <w:rsid w:val="005B2B24"/>
    <w:rsid w:val="005B4425"/>
    <w:rsid w:val="005B4B94"/>
    <w:rsid w:val="005C353F"/>
    <w:rsid w:val="005C3EE8"/>
    <w:rsid w:val="005C5F06"/>
    <w:rsid w:val="005D34F9"/>
    <w:rsid w:val="005D4190"/>
    <w:rsid w:val="005D67A3"/>
    <w:rsid w:val="005E0B31"/>
    <w:rsid w:val="005E2988"/>
    <w:rsid w:val="005E3085"/>
    <w:rsid w:val="005F51E1"/>
    <w:rsid w:val="005F601C"/>
    <w:rsid w:val="005F7D90"/>
    <w:rsid w:val="00611C80"/>
    <w:rsid w:val="00613B21"/>
    <w:rsid w:val="00620692"/>
    <w:rsid w:val="006242CA"/>
    <w:rsid w:val="00627507"/>
    <w:rsid w:val="00633717"/>
    <w:rsid w:val="006344E1"/>
    <w:rsid w:val="006361FD"/>
    <w:rsid w:val="006545C4"/>
    <w:rsid w:val="00654B7E"/>
    <w:rsid w:val="00661971"/>
    <w:rsid w:val="00661CE8"/>
    <w:rsid w:val="006623D9"/>
    <w:rsid w:val="00662882"/>
    <w:rsid w:val="006653D1"/>
    <w:rsid w:val="0066550C"/>
    <w:rsid w:val="006716F2"/>
    <w:rsid w:val="00682BF2"/>
    <w:rsid w:val="006859CE"/>
    <w:rsid w:val="00691270"/>
    <w:rsid w:val="00693902"/>
    <w:rsid w:val="00694BA8"/>
    <w:rsid w:val="006A037C"/>
    <w:rsid w:val="006A36F4"/>
    <w:rsid w:val="006A406F"/>
    <w:rsid w:val="006A5D3A"/>
    <w:rsid w:val="006C23D4"/>
    <w:rsid w:val="006C2B0D"/>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419A"/>
    <w:rsid w:val="007C4CC8"/>
    <w:rsid w:val="007C5426"/>
    <w:rsid w:val="007C5798"/>
    <w:rsid w:val="007D4832"/>
    <w:rsid w:val="007E21B2"/>
    <w:rsid w:val="007E2C4E"/>
    <w:rsid w:val="007F1905"/>
    <w:rsid w:val="007F7B58"/>
    <w:rsid w:val="00801300"/>
    <w:rsid w:val="00802C64"/>
    <w:rsid w:val="0080523A"/>
    <w:rsid w:val="00805E52"/>
    <w:rsid w:val="008061D0"/>
    <w:rsid w:val="00810B38"/>
    <w:rsid w:val="00817829"/>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8F7455"/>
    <w:rsid w:val="009013A7"/>
    <w:rsid w:val="009017FB"/>
    <w:rsid w:val="009017FC"/>
    <w:rsid w:val="009020E3"/>
    <w:rsid w:val="00902601"/>
    <w:rsid w:val="0090506B"/>
    <w:rsid w:val="009050C9"/>
    <w:rsid w:val="009066FC"/>
    <w:rsid w:val="009140A3"/>
    <w:rsid w:val="009144A2"/>
    <w:rsid w:val="0091510C"/>
    <w:rsid w:val="009259AC"/>
    <w:rsid w:val="00926F38"/>
    <w:rsid w:val="00931167"/>
    <w:rsid w:val="00934301"/>
    <w:rsid w:val="00936CD1"/>
    <w:rsid w:val="009375A5"/>
    <w:rsid w:val="00941747"/>
    <w:rsid w:val="00941EFB"/>
    <w:rsid w:val="00947AFB"/>
    <w:rsid w:val="00951D7D"/>
    <w:rsid w:val="00954AD6"/>
    <w:rsid w:val="009630C7"/>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B6D2F"/>
    <w:rsid w:val="00BC1C27"/>
    <w:rsid w:val="00BC1F03"/>
    <w:rsid w:val="00BC6BBF"/>
    <w:rsid w:val="00BD1572"/>
    <w:rsid w:val="00BE14E3"/>
    <w:rsid w:val="00BE3774"/>
    <w:rsid w:val="00BE41E5"/>
    <w:rsid w:val="00BF39FC"/>
    <w:rsid w:val="00BF4109"/>
    <w:rsid w:val="00BF4B9C"/>
    <w:rsid w:val="00BF4CC3"/>
    <w:rsid w:val="00C00E59"/>
    <w:rsid w:val="00C054C7"/>
    <w:rsid w:val="00C057B5"/>
    <w:rsid w:val="00C149F0"/>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97446"/>
    <w:rsid w:val="00CA4BDA"/>
    <w:rsid w:val="00CA7C61"/>
    <w:rsid w:val="00CB1F66"/>
    <w:rsid w:val="00CB2951"/>
    <w:rsid w:val="00CD282B"/>
    <w:rsid w:val="00CD4C35"/>
    <w:rsid w:val="00CD7369"/>
    <w:rsid w:val="00CE0B0E"/>
    <w:rsid w:val="00CE3831"/>
    <w:rsid w:val="00D00ABB"/>
    <w:rsid w:val="00D02781"/>
    <w:rsid w:val="00D02EEC"/>
    <w:rsid w:val="00D03551"/>
    <w:rsid w:val="00D05A23"/>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1AE8"/>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6653D1"/>
    <w:rPr>
      <w:sz w:val="24"/>
      <w:szCs w:val="24"/>
      <w:lang w:val="fr-FR"/>
    </w:rPr>
  </w:style>
  <w:style w:type="paragraph" w:styleId="Titolo1">
    <w:name w:val="heading 1"/>
    <w:basedOn w:val="Normale"/>
    <w:next w:val="Normale"/>
    <w:link w:val="Titolo1Carattere"/>
    <w:uiPriority w:val="98"/>
    <w:semiHidden/>
    <w:rsid w:val="006653D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6653D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6653D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6653D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6653D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6653D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6653D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6653D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6653D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6653D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6653D1"/>
    <w:rPr>
      <w:rFonts w:ascii="Tahoma" w:hAnsi="Tahoma" w:cs="Tahoma"/>
      <w:sz w:val="16"/>
      <w:szCs w:val="16"/>
      <w:lang w:val="fr-FR"/>
    </w:rPr>
  </w:style>
  <w:style w:type="character" w:styleId="Titolodellibro">
    <w:name w:val="Book Title"/>
    <w:uiPriority w:val="98"/>
    <w:semiHidden/>
    <w:qFormat/>
    <w:rsid w:val="006653D1"/>
    <w:rPr>
      <w:i/>
      <w:iCs/>
      <w:smallCaps/>
      <w:spacing w:val="5"/>
    </w:rPr>
  </w:style>
  <w:style w:type="paragraph" w:customStyle="1" w:styleId="JuHeader">
    <w:name w:val="Ju_Header"/>
    <w:aliases w:val="_Header"/>
    <w:basedOn w:val="Intestazione"/>
    <w:uiPriority w:val="29"/>
    <w:qFormat/>
    <w:rsid w:val="006653D1"/>
    <w:pPr>
      <w:tabs>
        <w:tab w:val="clear" w:pos="4536"/>
        <w:tab w:val="clear" w:pos="9072"/>
      </w:tabs>
      <w:jc w:val="center"/>
    </w:pPr>
    <w:rPr>
      <w:sz w:val="18"/>
    </w:rPr>
  </w:style>
  <w:style w:type="paragraph" w:customStyle="1" w:styleId="DummyStyle">
    <w:name w:val="Dummy_Style"/>
    <w:aliases w:val="_Dummy"/>
    <w:basedOn w:val="Normale"/>
    <w:semiHidden/>
    <w:qFormat/>
    <w:rsid w:val="006653D1"/>
    <w:rPr>
      <w:color w:val="00B050"/>
      <w:sz w:val="22"/>
    </w:rPr>
  </w:style>
  <w:style w:type="character" w:styleId="Enfasigrassetto">
    <w:name w:val="Strong"/>
    <w:uiPriority w:val="98"/>
    <w:semiHidden/>
    <w:qFormat/>
    <w:rsid w:val="006653D1"/>
    <w:rPr>
      <w:b/>
      <w:bCs/>
    </w:rPr>
  </w:style>
  <w:style w:type="paragraph" w:styleId="Nessunaspaziatura">
    <w:name w:val="No Spacing"/>
    <w:basedOn w:val="Normale"/>
    <w:link w:val="NessunaspaziaturaCarattere"/>
    <w:uiPriority w:val="98"/>
    <w:semiHidden/>
    <w:qFormat/>
    <w:rsid w:val="006653D1"/>
  </w:style>
  <w:style w:type="character" w:customStyle="1" w:styleId="NessunaspaziaturaCarattere">
    <w:name w:val="Nessuna spaziatura Carattere"/>
    <w:basedOn w:val="Carpredefinitoparagrafo"/>
    <w:link w:val="Nessunaspaziatura"/>
    <w:uiPriority w:val="98"/>
    <w:semiHidden/>
    <w:rsid w:val="006653D1"/>
    <w:rPr>
      <w:sz w:val="24"/>
      <w:szCs w:val="24"/>
      <w:lang w:val="fr-FR"/>
    </w:rPr>
  </w:style>
  <w:style w:type="paragraph" w:customStyle="1" w:styleId="JuQuot">
    <w:name w:val="Ju_Quot"/>
    <w:aliases w:val="_Quote"/>
    <w:basedOn w:val="NormalJustified"/>
    <w:uiPriority w:val="20"/>
    <w:qFormat/>
    <w:rsid w:val="006653D1"/>
    <w:pPr>
      <w:spacing w:before="120" w:after="120"/>
      <w:ind w:left="425" w:firstLine="142"/>
    </w:pPr>
    <w:rPr>
      <w:sz w:val="20"/>
    </w:rPr>
  </w:style>
  <w:style w:type="paragraph" w:customStyle="1" w:styleId="JuList">
    <w:name w:val="Ju_List"/>
    <w:aliases w:val="_List_1"/>
    <w:basedOn w:val="NormalJustified"/>
    <w:uiPriority w:val="23"/>
    <w:qFormat/>
    <w:rsid w:val="006653D1"/>
    <w:pPr>
      <w:numPr>
        <w:numId w:val="7"/>
      </w:numPr>
      <w:spacing w:before="280" w:after="60"/>
    </w:pPr>
  </w:style>
  <w:style w:type="paragraph" w:customStyle="1" w:styleId="JuLista">
    <w:name w:val="Ju_List_a"/>
    <w:aliases w:val="_List_2"/>
    <w:basedOn w:val="NormalJustified"/>
    <w:uiPriority w:val="23"/>
    <w:rsid w:val="006653D1"/>
    <w:pPr>
      <w:numPr>
        <w:ilvl w:val="1"/>
        <w:numId w:val="7"/>
      </w:numPr>
    </w:pPr>
  </w:style>
  <w:style w:type="paragraph" w:customStyle="1" w:styleId="JuListi">
    <w:name w:val="Ju_List_i"/>
    <w:aliases w:val="_List_3"/>
    <w:basedOn w:val="NormalJustified"/>
    <w:uiPriority w:val="23"/>
    <w:rsid w:val="006653D1"/>
    <w:pPr>
      <w:numPr>
        <w:ilvl w:val="2"/>
        <w:numId w:val="7"/>
      </w:numPr>
    </w:pPr>
  </w:style>
  <w:style w:type="paragraph" w:customStyle="1" w:styleId="DecHTitle">
    <w:name w:val="Dec_H_Title"/>
    <w:aliases w:val="_Title_1"/>
    <w:basedOn w:val="JuPara"/>
    <w:next w:val="JuPara"/>
    <w:uiPriority w:val="38"/>
    <w:qFormat/>
    <w:rsid w:val="006653D1"/>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6653D1"/>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6653D1"/>
    <w:pPr>
      <w:keepNext/>
      <w:keepLines/>
      <w:tabs>
        <w:tab w:val="right" w:pos="7938"/>
      </w:tabs>
      <w:ind w:firstLine="0"/>
      <w:jc w:val="center"/>
    </w:pPr>
    <w:rPr>
      <w:i/>
    </w:rPr>
  </w:style>
  <w:style w:type="numbering" w:customStyle="1" w:styleId="ECHRA1StyleBulletedSquare">
    <w:name w:val="ECHR_A1_Style_Bulleted_Square"/>
    <w:basedOn w:val="Nessunelenco"/>
    <w:rsid w:val="006653D1"/>
    <w:pPr>
      <w:numPr>
        <w:numId w:val="6"/>
      </w:numPr>
    </w:pPr>
  </w:style>
  <w:style w:type="paragraph" w:customStyle="1" w:styleId="JuHHead">
    <w:name w:val="Ju_H_Head"/>
    <w:aliases w:val="_Head_1"/>
    <w:basedOn w:val="Titolo1"/>
    <w:next w:val="JuPara"/>
    <w:uiPriority w:val="17"/>
    <w:qFormat/>
    <w:rsid w:val="006653D1"/>
    <w:pPr>
      <w:keepNext/>
      <w:keepLines/>
      <w:numPr>
        <w:numId w:val="2"/>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6653D1"/>
    <w:pPr>
      <w:numPr>
        <w:numId w:val="7"/>
      </w:numPr>
    </w:pPr>
  </w:style>
  <w:style w:type="paragraph" w:customStyle="1" w:styleId="JuSigned">
    <w:name w:val="Ju_Signed"/>
    <w:aliases w:val="_Signature"/>
    <w:basedOn w:val="Normale"/>
    <w:next w:val="JuPara"/>
    <w:uiPriority w:val="31"/>
    <w:qFormat/>
    <w:rsid w:val="006653D1"/>
    <w:pPr>
      <w:tabs>
        <w:tab w:val="center" w:pos="851"/>
        <w:tab w:val="center" w:pos="6407"/>
      </w:tabs>
      <w:spacing w:before="720"/>
    </w:pPr>
  </w:style>
  <w:style w:type="paragraph" w:styleId="Titolo">
    <w:name w:val="Title"/>
    <w:basedOn w:val="Normale"/>
    <w:next w:val="Normale"/>
    <w:link w:val="TitoloCarattere"/>
    <w:uiPriority w:val="98"/>
    <w:semiHidden/>
    <w:qFormat/>
    <w:rsid w:val="006653D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6653D1"/>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6653D1"/>
    <w:pPr>
      <w:numPr>
        <w:numId w:val="8"/>
      </w:numPr>
    </w:pPr>
  </w:style>
  <w:style w:type="table" w:customStyle="1" w:styleId="ECHRTable2019">
    <w:name w:val="ECHR_Table_2019"/>
    <w:basedOn w:val="Tabellanormale"/>
    <w:uiPriority w:val="99"/>
    <w:rsid w:val="006653D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6653D1"/>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6653D1"/>
    <w:pPr>
      <w:tabs>
        <w:tab w:val="center" w:pos="6407"/>
      </w:tabs>
      <w:spacing w:before="720"/>
      <w:jc w:val="right"/>
    </w:pPr>
  </w:style>
  <w:style w:type="paragraph" w:customStyle="1" w:styleId="JuHIRoman">
    <w:name w:val="Ju_H_I_Roman"/>
    <w:aliases w:val="_Head_2"/>
    <w:basedOn w:val="Titolo2"/>
    <w:next w:val="JuPara"/>
    <w:uiPriority w:val="17"/>
    <w:qFormat/>
    <w:rsid w:val="006653D1"/>
    <w:pPr>
      <w:keepNext/>
      <w:keepLines/>
      <w:numPr>
        <w:ilvl w:val="1"/>
        <w:numId w:val="2"/>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6653D1"/>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6653D1"/>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6653D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6653D1"/>
    <w:rPr>
      <w:sz w:val="24"/>
      <w:szCs w:val="24"/>
      <w:lang w:val="fr-FR"/>
    </w:rPr>
  </w:style>
  <w:style w:type="character" w:customStyle="1" w:styleId="Titolo1Carattere">
    <w:name w:val="Titolo 1 Carattere"/>
    <w:basedOn w:val="Carpredefinitoparagrafo"/>
    <w:link w:val="Titolo1"/>
    <w:uiPriority w:val="98"/>
    <w:semiHidden/>
    <w:rsid w:val="006653D1"/>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6653D1"/>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6653D1"/>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6653D1"/>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6653D1"/>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6653D1"/>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6653D1"/>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6653D1"/>
    <w:pPr>
      <w:keepNext/>
      <w:keepLines/>
      <w:spacing w:before="240" w:after="240"/>
      <w:ind w:firstLine="284"/>
    </w:pPr>
  </w:style>
  <w:style w:type="paragraph" w:customStyle="1" w:styleId="JuJudges">
    <w:name w:val="Ju_Judges"/>
    <w:aliases w:val="_Judges"/>
    <w:basedOn w:val="Normale"/>
    <w:uiPriority w:val="32"/>
    <w:qFormat/>
    <w:rsid w:val="006653D1"/>
    <w:pPr>
      <w:tabs>
        <w:tab w:val="left" w:pos="567"/>
        <w:tab w:val="left" w:pos="1134"/>
      </w:tabs>
    </w:pPr>
  </w:style>
  <w:style w:type="character" w:customStyle="1" w:styleId="Titolo4Carattere">
    <w:name w:val="Titolo 4 Carattere"/>
    <w:basedOn w:val="Carpredefinitoparagrafo"/>
    <w:link w:val="Titolo4"/>
    <w:uiPriority w:val="98"/>
    <w:semiHidden/>
    <w:rsid w:val="006653D1"/>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semiHidden/>
    <w:qFormat/>
    <w:rsid w:val="006653D1"/>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6653D1"/>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6653D1"/>
    <w:rPr>
      <w:caps w:val="0"/>
      <w:smallCaps/>
    </w:rPr>
  </w:style>
  <w:style w:type="paragraph" w:customStyle="1" w:styleId="NormalJustified">
    <w:name w:val="Normal_Justified"/>
    <w:basedOn w:val="Normale"/>
    <w:semiHidden/>
    <w:rsid w:val="006653D1"/>
    <w:pPr>
      <w:jc w:val="both"/>
    </w:pPr>
  </w:style>
  <w:style w:type="character" w:styleId="Enfasidelicata">
    <w:name w:val="Subtle Emphasis"/>
    <w:uiPriority w:val="98"/>
    <w:semiHidden/>
    <w:qFormat/>
    <w:rsid w:val="006653D1"/>
    <w:rPr>
      <w:i/>
      <w:iCs/>
    </w:rPr>
  </w:style>
  <w:style w:type="table" w:customStyle="1" w:styleId="ECHRTable">
    <w:name w:val="ECHR_Table"/>
    <w:basedOn w:val="Tabellanormale"/>
    <w:rsid w:val="006653D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6653D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6653D1"/>
    <w:rPr>
      <w:b/>
      <w:bCs/>
      <w:i/>
      <w:iCs/>
      <w:spacing w:val="10"/>
      <w:bdr w:val="none" w:sz="0" w:space="0" w:color="auto"/>
      <w:shd w:val="clear" w:color="auto" w:fill="auto"/>
    </w:rPr>
  </w:style>
  <w:style w:type="paragraph" w:styleId="Pidipagina">
    <w:name w:val="footer"/>
    <w:basedOn w:val="Normale"/>
    <w:link w:val="PidipaginaCarattere"/>
    <w:uiPriority w:val="98"/>
    <w:semiHidden/>
    <w:rsid w:val="006653D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6653D1"/>
    <w:rPr>
      <w:sz w:val="24"/>
      <w:szCs w:val="24"/>
      <w:lang w:val="fr-FR"/>
    </w:rPr>
  </w:style>
  <w:style w:type="character" w:styleId="Rimandonotaapidipagina">
    <w:name w:val="footnote reference"/>
    <w:basedOn w:val="Carpredefinitoparagrafo"/>
    <w:uiPriority w:val="98"/>
    <w:semiHidden/>
    <w:rsid w:val="006653D1"/>
    <w:rPr>
      <w:vertAlign w:val="superscript"/>
    </w:rPr>
  </w:style>
  <w:style w:type="paragraph" w:styleId="Testonotaapidipagina">
    <w:name w:val="footnote text"/>
    <w:basedOn w:val="Normale"/>
    <w:link w:val="TestonotaapidipaginaCarattere"/>
    <w:uiPriority w:val="98"/>
    <w:semiHidden/>
    <w:rsid w:val="006653D1"/>
    <w:rPr>
      <w:sz w:val="20"/>
      <w:szCs w:val="20"/>
    </w:rPr>
  </w:style>
  <w:style w:type="character" w:customStyle="1" w:styleId="TestonotaapidipaginaCarattere">
    <w:name w:val="Testo nota a piè di pagina Carattere"/>
    <w:basedOn w:val="Carpredefinitoparagrafo"/>
    <w:link w:val="Testonotaapidipagina"/>
    <w:uiPriority w:val="98"/>
    <w:semiHidden/>
    <w:rsid w:val="006653D1"/>
    <w:rPr>
      <w:sz w:val="20"/>
      <w:szCs w:val="20"/>
      <w:lang w:val="fr-FR"/>
    </w:rPr>
  </w:style>
  <w:style w:type="character" w:customStyle="1" w:styleId="Titolo6Carattere">
    <w:name w:val="Titolo 6 Carattere"/>
    <w:basedOn w:val="Carpredefinitoparagrafo"/>
    <w:link w:val="Titolo6"/>
    <w:uiPriority w:val="98"/>
    <w:semiHidden/>
    <w:rsid w:val="006653D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6653D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6653D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6653D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6653D1"/>
    <w:rPr>
      <w:color w:val="0072BC" w:themeColor="hyperlink"/>
      <w:u w:val="single"/>
    </w:rPr>
  </w:style>
  <w:style w:type="character" w:styleId="Enfasiintensa">
    <w:name w:val="Intense Emphasis"/>
    <w:uiPriority w:val="98"/>
    <w:semiHidden/>
    <w:qFormat/>
    <w:rsid w:val="006653D1"/>
    <w:rPr>
      <w:b/>
      <w:bCs/>
    </w:rPr>
  </w:style>
  <w:style w:type="paragraph" w:styleId="Citazioneintensa">
    <w:name w:val="Intense Quote"/>
    <w:basedOn w:val="Normale"/>
    <w:next w:val="Normale"/>
    <w:link w:val="CitazioneintensaCarattere"/>
    <w:uiPriority w:val="98"/>
    <w:semiHidden/>
    <w:qFormat/>
    <w:rsid w:val="006653D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6653D1"/>
    <w:rPr>
      <w:b/>
      <w:bCs/>
      <w:i/>
      <w:iCs/>
      <w:sz w:val="24"/>
      <w:szCs w:val="24"/>
      <w:lang w:val="fr-FR" w:bidi="en-US"/>
    </w:rPr>
  </w:style>
  <w:style w:type="character" w:styleId="Riferimentointenso">
    <w:name w:val="Intense Reference"/>
    <w:uiPriority w:val="98"/>
    <w:semiHidden/>
    <w:qFormat/>
    <w:rsid w:val="006653D1"/>
    <w:rPr>
      <w:smallCaps/>
      <w:spacing w:val="5"/>
      <w:u w:val="single"/>
    </w:rPr>
  </w:style>
  <w:style w:type="paragraph" w:styleId="Paragrafoelenco">
    <w:name w:val="List Paragraph"/>
    <w:basedOn w:val="Normale"/>
    <w:uiPriority w:val="98"/>
    <w:semiHidden/>
    <w:qFormat/>
    <w:rsid w:val="006653D1"/>
    <w:pPr>
      <w:ind w:left="720"/>
      <w:contextualSpacing/>
    </w:pPr>
  </w:style>
  <w:style w:type="table" w:customStyle="1" w:styleId="LtrTableAddress">
    <w:name w:val="Ltr_Table_Address"/>
    <w:aliases w:val="ECHR_Ltr_Table_Address"/>
    <w:basedOn w:val="Tabellanormale"/>
    <w:uiPriority w:val="99"/>
    <w:rsid w:val="006653D1"/>
    <w:rPr>
      <w:sz w:val="24"/>
      <w:szCs w:val="24"/>
    </w:rPr>
    <w:tblPr>
      <w:tblInd w:w="5103" w:type="dxa"/>
    </w:tblPr>
  </w:style>
  <w:style w:type="paragraph" w:styleId="Citazione">
    <w:name w:val="Quote"/>
    <w:basedOn w:val="Normale"/>
    <w:next w:val="Normale"/>
    <w:link w:val="CitazioneCarattere"/>
    <w:uiPriority w:val="98"/>
    <w:semiHidden/>
    <w:qFormat/>
    <w:rsid w:val="006653D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6653D1"/>
    <w:rPr>
      <w:i/>
      <w:iCs/>
      <w:sz w:val="24"/>
      <w:szCs w:val="24"/>
      <w:lang w:val="fr-FR" w:bidi="en-US"/>
    </w:rPr>
  </w:style>
  <w:style w:type="character" w:styleId="Riferimentodelicato">
    <w:name w:val="Subtle Reference"/>
    <w:uiPriority w:val="98"/>
    <w:semiHidden/>
    <w:qFormat/>
    <w:rsid w:val="006653D1"/>
    <w:rPr>
      <w:smallCaps/>
    </w:rPr>
  </w:style>
  <w:style w:type="table" w:styleId="Grigliatabella">
    <w:name w:val="Table Grid"/>
    <w:basedOn w:val="Tabellanormale"/>
    <w:uiPriority w:val="59"/>
    <w:semiHidden/>
    <w:rsid w:val="006653D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6653D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6653D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6653D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6653D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6653D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6653D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6653D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6653D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6653D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6653D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6653D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6653D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6653D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6653D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6653D1"/>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6653D1"/>
    <w:pPr>
      <w:numPr>
        <w:numId w:val="3"/>
      </w:numPr>
    </w:pPr>
  </w:style>
  <w:style w:type="paragraph" w:customStyle="1" w:styleId="JuPara">
    <w:name w:val="Ju_Para"/>
    <w:aliases w:val="_Para"/>
    <w:basedOn w:val="NormalJustified"/>
    <w:link w:val="JuParaChar"/>
    <w:uiPriority w:val="4"/>
    <w:qFormat/>
    <w:rsid w:val="006653D1"/>
    <w:pPr>
      <w:ind w:firstLine="284"/>
    </w:pPr>
  </w:style>
  <w:style w:type="numbering" w:styleId="1ai">
    <w:name w:val="Outline List 1"/>
    <w:basedOn w:val="Nessunelenco"/>
    <w:uiPriority w:val="99"/>
    <w:semiHidden/>
    <w:unhideWhenUsed/>
    <w:rsid w:val="006653D1"/>
    <w:pPr>
      <w:numPr>
        <w:numId w:val="4"/>
      </w:numPr>
    </w:pPr>
  </w:style>
  <w:style w:type="table" w:customStyle="1" w:styleId="ECHRTableSimpleBox">
    <w:name w:val="ECHR_Table_Simple_Box"/>
    <w:basedOn w:val="Tabellanormale"/>
    <w:uiPriority w:val="99"/>
    <w:rsid w:val="006653D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6653D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6653D1"/>
    <w:pPr>
      <w:numPr>
        <w:numId w:val="5"/>
      </w:numPr>
    </w:pPr>
  </w:style>
  <w:style w:type="table" w:customStyle="1" w:styleId="ECHRTableForInternalUse">
    <w:name w:val="ECHR_Table_For_Internal_Use"/>
    <w:basedOn w:val="Tabellanormale"/>
    <w:uiPriority w:val="99"/>
    <w:rsid w:val="006653D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6653D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6653D1"/>
  </w:style>
  <w:style w:type="paragraph" w:styleId="Testodelblocco">
    <w:name w:val="Block Text"/>
    <w:basedOn w:val="Normale"/>
    <w:uiPriority w:val="98"/>
    <w:semiHidden/>
    <w:rsid w:val="006653D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6653D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6653D1"/>
    <w:pPr>
      <w:spacing w:after="120"/>
    </w:pPr>
  </w:style>
  <w:style w:type="character" w:customStyle="1" w:styleId="CorpotestoCarattere">
    <w:name w:val="Corpo testo Carattere"/>
    <w:basedOn w:val="Carpredefinitoparagrafo"/>
    <w:link w:val="Corpotesto"/>
    <w:uiPriority w:val="98"/>
    <w:semiHidden/>
    <w:rsid w:val="006653D1"/>
    <w:rPr>
      <w:sz w:val="24"/>
      <w:szCs w:val="24"/>
      <w:lang w:val="fr-FR"/>
    </w:rPr>
  </w:style>
  <w:style w:type="table" w:customStyle="1" w:styleId="ECHRTableOddBanded">
    <w:name w:val="ECHR_Table_Odd_Banded"/>
    <w:basedOn w:val="Tabellanormale"/>
    <w:uiPriority w:val="99"/>
    <w:rsid w:val="006653D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6653D1"/>
    <w:pPr>
      <w:spacing w:after="120" w:line="480" w:lineRule="auto"/>
    </w:pPr>
  </w:style>
  <w:style w:type="table" w:customStyle="1" w:styleId="ECHRHeaderTableReduced">
    <w:name w:val="ECHR_Header_Table_Reduced"/>
    <w:basedOn w:val="Tabellanormale"/>
    <w:uiPriority w:val="99"/>
    <w:rsid w:val="006653D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6653D1"/>
    <w:pPr>
      <w:ind w:firstLine="284"/>
    </w:pPr>
    <w:rPr>
      <w:b/>
    </w:rPr>
  </w:style>
  <w:style w:type="character" w:styleId="Numeropagina">
    <w:name w:val="page number"/>
    <w:uiPriority w:val="98"/>
    <w:semiHidden/>
    <w:rsid w:val="006653D1"/>
    <w:rPr>
      <w:sz w:val="18"/>
    </w:rPr>
  </w:style>
  <w:style w:type="paragraph" w:styleId="Puntoelenco2">
    <w:name w:val="List Bullet 2"/>
    <w:basedOn w:val="Normale"/>
    <w:uiPriority w:val="98"/>
    <w:semiHidden/>
    <w:rsid w:val="006653D1"/>
    <w:pPr>
      <w:numPr>
        <w:numId w:val="10"/>
      </w:numPr>
      <w:contextualSpacing/>
    </w:pPr>
  </w:style>
  <w:style w:type="character" w:customStyle="1" w:styleId="Corpodeltesto2Carattere">
    <w:name w:val="Corpo del testo 2 Carattere"/>
    <w:basedOn w:val="Carpredefinitoparagrafo"/>
    <w:link w:val="Corpodeltesto2"/>
    <w:uiPriority w:val="98"/>
    <w:semiHidden/>
    <w:rsid w:val="006653D1"/>
    <w:rPr>
      <w:sz w:val="24"/>
      <w:szCs w:val="24"/>
      <w:lang w:val="fr-FR"/>
    </w:rPr>
  </w:style>
  <w:style w:type="paragraph" w:styleId="Corpodeltesto3">
    <w:name w:val="Body Text 3"/>
    <w:basedOn w:val="Normale"/>
    <w:link w:val="Corpodeltesto3Carattere"/>
    <w:uiPriority w:val="98"/>
    <w:semiHidden/>
    <w:rsid w:val="006653D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6653D1"/>
    <w:rPr>
      <w:sz w:val="16"/>
      <w:szCs w:val="16"/>
      <w:lang w:val="fr-FR"/>
    </w:rPr>
  </w:style>
  <w:style w:type="paragraph" w:styleId="Primorientrocorpodeltesto">
    <w:name w:val="Body Text First Indent"/>
    <w:basedOn w:val="Corpotesto"/>
    <w:link w:val="PrimorientrocorpodeltestoCarattere"/>
    <w:uiPriority w:val="98"/>
    <w:semiHidden/>
    <w:rsid w:val="006653D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6653D1"/>
    <w:rPr>
      <w:sz w:val="24"/>
      <w:szCs w:val="24"/>
      <w:lang w:val="fr-FR"/>
    </w:rPr>
  </w:style>
  <w:style w:type="paragraph" w:styleId="Rientrocorpodeltesto">
    <w:name w:val="Body Text Indent"/>
    <w:basedOn w:val="Normale"/>
    <w:link w:val="RientrocorpodeltestoCarattere"/>
    <w:uiPriority w:val="98"/>
    <w:semiHidden/>
    <w:rsid w:val="006653D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6653D1"/>
    <w:rPr>
      <w:sz w:val="24"/>
      <w:szCs w:val="24"/>
      <w:lang w:val="fr-FR"/>
    </w:rPr>
  </w:style>
  <w:style w:type="paragraph" w:styleId="Primorientrocorpodeltesto2">
    <w:name w:val="Body Text First Indent 2"/>
    <w:basedOn w:val="Rientrocorpodeltesto"/>
    <w:link w:val="Primorientrocorpodeltesto2Carattere"/>
    <w:uiPriority w:val="98"/>
    <w:semiHidden/>
    <w:rsid w:val="006653D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6653D1"/>
    <w:rPr>
      <w:sz w:val="24"/>
      <w:szCs w:val="24"/>
      <w:lang w:val="fr-FR"/>
    </w:rPr>
  </w:style>
  <w:style w:type="paragraph" w:styleId="Rientrocorpodeltesto2">
    <w:name w:val="Body Text Indent 2"/>
    <w:basedOn w:val="Normale"/>
    <w:link w:val="Rientrocorpodeltesto2Carattere"/>
    <w:uiPriority w:val="98"/>
    <w:semiHidden/>
    <w:rsid w:val="006653D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6653D1"/>
    <w:rPr>
      <w:sz w:val="24"/>
      <w:szCs w:val="24"/>
      <w:lang w:val="fr-FR"/>
    </w:rPr>
  </w:style>
  <w:style w:type="paragraph" w:styleId="Rientrocorpodeltesto3">
    <w:name w:val="Body Text Indent 3"/>
    <w:basedOn w:val="Normale"/>
    <w:link w:val="Rientrocorpodeltesto3Carattere"/>
    <w:uiPriority w:val="98"/>
    <w:semiHidden/>
    <w:rsid w:val="006653D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6653D1"/>
    <w:rPr>
      <w:sz w:val="16"/>
      <w:szCs w:val="16"/>
      <w:lang w:val="fr-FR"/>
    </w:rPr>
  </w:style>
  <w:style w:type="paragraph" w:styleId="Didascalia">
    <w:name w:val="caption"/>
    <w:basedOn w:val="Normale"/>
    <w:next w:val="Normale"/>
    <w:uiPriority w:val="98"/>
    <w:semiHidden/>
    <w:qFormat/>
    <w:rsid w:val="006653D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6653D1"/>
    <w:pPr>
      <w:ind w:left="4252"/>
    </w:pPr>
  </w:style>
  <w:style w:type="character" w:customStyle="1" w:styleId="FormuladichiusuraCarattere">
    <w:name w:val="Formula di chiusura Carattere"/>
    <w:basedOn w:val="Carpredefinitoparagrafo"/>
    <w:link w:val="Formuladichiusura"/>
    <w:uiPriority w:val="98"/>
    <w:semiHidden/>
    <w:rsid w:val="006653D1"/>
    <w:rPr>
      <w:sz w:val="24"/>
      <w:szCs w:val="24"/>
      <w:lang w:val="fr-FR"/>
    </w:rPr>
  </w:style>
  <w:style w:type="table" w:styleId="Grigliaacolori">
    <w:name w:val="Colorful Grid"/>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653D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653D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653D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653D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653D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653D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653D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653D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653D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653D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653D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653D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653D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653D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653D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6653D1"/>
    <w:rPr>
      <w:sz w:val="16"/>
      <w:szCs w:val="16"/>
    </w:rPr>
  </w:style>
  <w:style w:type="paragraph" w:styleId="Testocommento">
    <w:name w:val="annotation text"/>
    <w:basedOn w:val="Normale"/>
    <w:link w:val="TestocommentoCarattere"/>
    <w:uiPriority w:val="98"/>
    <w:semiHidden/>
    <w:rsid w:val="006653D1"/>
    <w:rPr>
      <w:sz w:val="20"/>
      <w:szCs w:val="20"/>
    </w:rPr>
  </w:style>
  <w:style w:type="character" w:customStyle="1" w:styleId="TestocommentoCarattere">
    <w:name w:val="Testo commento Carattere"/>
    <w:basedOn w:val="Carpredefinitoparagrafo"/>
    <w:link w:val="Testocommento"/>
    <w:uiPriority w:val="98"/>
    <w:semiHidden/>
    <w:rsid w:val="006653D1"/>
    <w:rPr>
      <w:sz w:val="20"/>
      <w:szCs w:val="20"/>
      <w:lang w:val="fr-FR"/>
    </w:rPr>
  </w:style>
  <w:style w:type="paragraph" w:styleId="Soggettocommento">
    <w:name w:val="annotation subject"/>
    <w:basedOn w:val="Testocommento"/>
    <w:next w:val="Testocommento"/>
    <w:link w:val="SoggettocommentoCarattere"/>
    <w:uiPriority w:val="98"/>
    <w:semiHidden/>
    <w:rsid w:val="006653D1"/>
    <w:rPr>
      <w:b/>
      <w:bCs/>
    </w:rPr>
  </w:style>
  <w:style w:type="character" w:customStyle="1" w:styleId="SoggettocommentoCarattere">
    <w:name w:val="Soggetto commento Carattere"/>
    <w:basedOn w:val="TestocommentoCarattere"/>
    <w:link w:val="Soggettocommento"/>
    <w:uiPriority w:val="98"/>
    <w:semiHidden/>
    <w:rsid w:val="006653D1"/>
    <w:rPr>
      <w:b/>
      <w:bCs/>
      <w:sz w:val="20"/>
      <w:szCs w:val="20"/>
      <w:lang w:val="fr-FR"/>
    </w:rPr>
  </w:style>
  <w:style w:type="table" w:styleId="Elencoscuro">
    <w:name w:val="Dark List"/>
    <w:basedOn w:val="Tabellanormale"/>
    <w:uiPriority w:val="70"/>
    <w:semiHidden/>
    <w:rsid w:val="006653D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653D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653D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653D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653D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653D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653D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6653D1"/>
  </w:style>
  <w:style w:type="character" w:customStyle="1" w:styleId="DataCarattere">
    <w:name w:val="Data Carattere"/>
    <w:basedOn w:val="Carpredefinitoparagrafo"/>
    <w:link w:val="Data"/>
    <w:uiPriority w:val="98"/>
    <w:semiHidden/>
    <w:rsid w:val="006653D1"/>
    <w:rPr>
      <w:sz w:val="24"/>
      <w:szCs w:val="24"/>
      <w:lang w:val="fr-FR"/>
    </w:rPr>
  </w:style>
  <w:style w:type="paragraph" w:styleId="Mappadocumento">
    <w:name w:val="Document Map"/>
    <w:basedOn w:val="Normale"/>
    <w:link w:val="MappadocumentoCarattere"/>
    <w:uiPriority w:val="98"/>
    <w:semiHidden/>
    <w:rsid w:val="006653D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6653D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6653D1"/>
  </w:style>
  <w:style w:type="character" w:customStyle="1" w:styleId="FirmadipostaelettronicaCarattere">
    <w:name w:val="Firma di posta elettronica Carattere"/>
    <w:basedOn w:val="Carpredefinitoparagrafo"/>
    <w:link w:val="Firmadipostaelettronica"/>
    <w:uiPriority w:val="98"/>
    <w:semiHidden/>
    <w:rsid w:val="006653D1"/>
    <w:rPr>
      <w:sz w:val="24"/>
      <w:szCs w:val="24"/>
      <w:lang w:val="fr-FR"/>
    </w:rPr>
  </w:style>
  <w:style w:type="character" w:styleId="Rimandonotadichiusura">
    <w:name w:val="endnote reference"/>
    <w:basedOn w:val="Carpredefinitoparagrafo"/>
    <w:uiPriority w:val="98"/>
    <w:semiHidden/>
    <w:rsid w:val="006653D1"/>
    <w:rPr>
      <w:vertAlign w:val="superscript"/>
    </w:rPr>
  </w:style>
  <w:style w:type="paragraph" w:styleId="Testonotadichiusura">
    <w:name w:val="endnote text"/>
    <w:basedOn w:val="Normale"/>
    <w:link w:val="TestonotadichiusuraCarattere"/>
    <w:uiPriority w:val="98"/>
    <w:semiHidden/>
    <w:rsid w:val="006653D1"/>
    <w:rPr>
      <w:sz w:val="20"/>
      <w:szCs w:val="20"/>
    </w:rPr>
  </w:style>
  <w:style w:type="character" w:customStyle="1" w:styleId="TestonotadichiusuraCarattere">
    <w:name w:val="Testo nota di chiusura Carattere"/>
    <w:basedOn w:val="Carpredefinitoparagrafo"/>
    <w:link w:val="Testonotadichiusura"/>
    <w:uiPriority w:val="98"/>
    <w:semiHidden/>
    <w:rsid w:val="006653D1"/>
    <w:rPr>
      <w:sz w:val="20"/>
      <w:szCs w:val="20"/>
      <w:lang w:val="fr-FR"/>
    </w:rPr>
  </w:style>
  <w:style w:type="paragraph" w:styleId="Indirizzodestinatario">
    <w:name w:val="envelope address"/>
    <w:basedOn w:val="Normale"/>
    <w:uiPriority w:val="98"/>
    <w:semiHidden/>
    <w:rsid w:val="006653D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6653D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6653D1"/>
    <w:rPr>
      <w:color w:val="7030A0" w:themeColor="followedHyperlink"/>
      <w:u w:val="single"/>
    </w:rPr>
  </w:style>
  <w:style w:type="character" w:styleId="AcronimoHTML">
    <w:name w:val="HTML Acronym"/>
    <w:basedOn w:val="Carpredefinitoparagrafo"/>
    <w:uiPriority w:val="98"/>
    <w:semiHidden/>
    <w:rsid w:val="006653D1"/>
  </w:style>
  <w:style w:type="paragraph" w:styleId="IndirizzoHTML">
    <w:name w:val="HTML Address"/>
    <w:basedOn w:val="Normale"/>
    <w:link w:val="IndirizzoHTMLCarattere"/>
    <w:uiPriority w:val="98"/>
    <w:semiHidden/>
    <w:rsid w:val="006653D1"/>
    <w:rPr>
      <w:i/>
      <w:iCs/>
    </w:rPr>
  </w:style>
  <w:style w:type="character" w:customStyle="1" w:styleId="IndirizzoHTMLCarattere">
    <w:name w:val="Indirizzo HTML Carattere"/>
    <w:basedOn w:val="Carpredefinitoparagrafo"/>
    <w:link w:val="IndirizzoHTML"/>
    <w:uiPriority w:val="98"/>
    <w:semiHidden/>
    <w:rsid w:val="006653D1"/>
    <w:rPr>
      <w:i/>
      <w:iCs/>
      <w:sz w:val="24"/>
      <w:szCs w:val="24"/>
      <w:lang w:val="fr-FR"/>
    </w:rPr>
  </w:style>
  <w:style w:type="character" w:styleId="CitazioneHTML">
    <w:name w:val="HTML Cite"/>
    <w:basedOn w:val="Carpredefinitoparagrafo"/>
    <w:uiPriority w:val="98"/>
    <w:semiHidden/>
    <w:rsid w:val="006653D1"/>
    <w:rPr>
      <w:i/>
      <w:iCs/>
    </w:rPr>
  </w:style>
  <w:style w:type="character" w:styleId="CodiceHTML">
    <w:name w:val="HTML Code"/>
    <w:basedOn w:val="Carpredefinitoparagrafo"/>
    <w:uiPriority w:val="98"/>
    <w:semiHidden/>
    <w:rsid w:val="006653D1"/>
    <w:rPr>
      <w:rFonts w:ascii="Consolas" w:hAnsi="Consolas" w:cs="Consolas"/>
      <w:sz w:val="20"/>
      <w:szCs w:val="20"/>
    </w:rPr>
  </w:style>
  <w:style w:type="character" w:styleId="DefinizioneHTML">
    <w:name w:val="HTML Definition"/>
    <w:basedOn w:val="Carpredefinitoparagrafo"/>
    <w:uiPriority w:val="98"/>
    <w:semiHidden/>
    <w:rsid w:val="006653D1"/>
    <w:rPr>
      <w:i/>
      <w:iCs/>
    </w:rPr>
  </w:style>
  <w:style w:type="character" w:styleId="TastieraHTML">
    <w:name w:val="HTML Keyboard"/>
    <w:basedOn w:val="Carpredefinitoparagrafo"/>
    <w:uiPriority w:val="98"/>
    <w:semiHidden/>
    <w:rsid w:val="006653D1"/>
    <w:rPr>
      <w:rFonts w:ascii="Consolas" w:hAnsi="Consolas" w:cs="Consolas"/>
      <w:sz w:val="20"/>
      <w:szCs w:val="20"/>
    </w:rPr>
  </w:style>
  <w:style w:type="paragraph" w:styleId="PreformattatoHTML">
    <w:name w:val="HTML Preformatted"/>
    <w:basedOn w:val="Normale"/>
    <w:link w:val="PreformattatoHTMLCarattere"/>
    <w:uiPriority w:val="98"/>
    <w:semiHidden/>
    <w:rsid w:val="006653D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6653D1"/>
    <w:rPr>
      <w:rFonts w:ascii="Consolas" w:hAnsi="Consolas" w:cs="Consolas"/>
      <w:sz w:val="20"/>
      <w:szCs w:val="20"/>
      <w:lang w:val="fr-FR"/>
    </w:rPr>
  </w:style>
  <w:style w:type="character" w:styleId="EsempioHTML">
    <w:name w:val="HTML Sample"/>
    <w:basedOn w:val="Carpredefinitoparagrafo"/>
    <w:uiPriority w:val="98"/>
    <w:semiHidden/>
    <w:rsid w:val="006653D1"/>
    <w:rPr>
      <w:rFonts w:ascii="Consolas" w:hAnsi="Consolas" w:cs="Consolas"/>
      <w:sz w:val="24"/>
      <w:szCs w:val="24"/>
    </w:rPr>
  </w:style>
  <w:style w:type="character" w:styleId="MacchinadascrivereHTML">
    <w:name w:val="HTML Typewriter"/>
    <w:basedOn w:val="Carpredefinitoparagrafo"/>
    <w:uiPriority w:val="98"/>
    <w:semiHidden/>
    <w:rsid w:val="006653D1"/>
    <w:rPr>
      <w:rFonts w:ascii="Consolas" w:hAnsi="Consolas" w:cs="Consolas"/>
      <w:sz w:val="20"/>
      <w:szCs w:val="20"/>
    </w:rPr>
  </w:style>
  <w:style w:type="character" w:styleId="VariabileHTML">
    <w:name w:val="HTML Variable"/>
    <w:basedOn w:val="Carpredefinitoparagrafo"/>
    <w:uiPriority w:val="98"/>
    <w:semiHidden/>
    <w:rsid w:val="006653D1"/>
    <w:rPr>
      <w:i/>
      <w:iCs/>
    </w:rPr>
  </w:style>
  <w:style w:type="paragraph" w:styleId="Indice1">
    <w:name w:val="index 1"/>
    <w:basedOn w:val="Normale"/>
    <w:next w:val="Normale"/>
    <w:autoRedefine/>
    <w:uiPriority w:val="98"/>
    <w:semiHidden/>
    <w:rsid w:val="006653D1"/>
    <w:pPr>
      <w:ind w:left="240" w:hanging="240"/>
    </w:pPr>
  </w:style>
  <w:style w:type="paragraph" w:styleId="Indice2">
    <w:name w:val="index 2"/>
    <w:basedOn w:val="Normale"/>
    <w:next w:val="Normale"/>
    <w:autoRedefine/>
    <w:uiPriority w:val="98"/>
    <w:semiHidden/>
    <w:rsid w:val="006653D1"/>
    <w:pPr>
      <w:ind w:left="480" w:hanging="240"/>
    </w:pPr>
  </w:style>
  <w:style w:type="paragraph" w:styleId="Indice3">
    <w:name w:val="index 3"/>
    <w:basedOn w:val="Normale"/>
    <w:next w:val="Normale"/>
    <w:autoRedefine/>
    <w:uiPriority w:val="98"/>
    <w:semiHidden/>
    <w:rsid w:val="006653D1"/>
    <w:pPr>
      <w:ind w:left="720" w:hanging="240"/>
    </w:pPr>
  </w:style>
  <w:style w:type="paragraph" w:styleId="Indice4">
    <w:name w:val="index 4"/>
    <w:basedOn w:val="Normale"/>
    <w:next w:val="Normale"/>
    <w:autoRedefine/>
    <w:uiPriority w:val="98"/>
    <w:semiHidden/>
    <w:rsid w:val="006653D1"/>
    <w:pPr>
      <w:ind w:left="960" w:hanging="240"/>
    </w:pPr>
  </w:style>
  <w:style w:type="paragraph" w:styleId="Indice5">
    <w:name w:val="index 5"/>
    <w:basedOn w:val="Normale"/>
    <w:next w:val="Normale"/>
    <w:autoRedefine/>
    <w:uiPriority w:val="98"/>
    <w:semiHidden/>
    <w:rsid w:val="006653D1"/>
    <w:pPr>
      <w:ind w:left="1200" w:hanging="240"/>
    </w:pPr>
  </w:style>
  <w:style w:type="paragraph" w:styleId="Indice6">
    <w:name w:val="index 6"/>
    <w:basedOn w:val="Normale"/>
    <w:next w:val="Normale"/>
    <w:autoRedefine/>
    <w:uiPriority w:val="98"/>
    <w:semiHidden/>
    <w:rsid w:val="006653D1"/>
    <w:pPr>
      <w:ind w:left="1440" w:hanging="240"/>
    </w:pPr>
  </w:style>
  <w:style w:type="paragraph" w:styleId="Indice7">
    <w:name w:val="index 7"/>
    <w:basedOn w:val="Normale"/>
    <w:next w:val="Normale"/>
    <w:autoRedefine/>
    <w:uiPriority w:val="98"/>
    <w:semiHidden/>
    <w:rsid w:val="006653D1"/>
    <w:pPr>
      <w:ind w:left="1680" w:hanging="240"/>
    </w:pPr>
  </w:style>
  <w:style w:type="paragraph" w:styleId="Indice8">
    <w:name w:val="index 8"/>
    <w:basedOn w:val="Normale"/>
    <w:next w:val="Normale"/>
    <w:autoRedefine/>
    <w:uiPriority w:val="98"/>
    <w:semiHidden/>
    <w:rsid w:val="006653D1"/>
    <w:pPr>
      <w:ind w:left="1920" w:hanging="240"/>
    </w:pPr>
  </w:style>
  <w:style w:type="paragraph" w:styleId="Indice9">
    <w:name w:val="index 9"/>
    <w:basedOn w:val="Normale"/>
    <w:next w:val="Normale"/>
    <w:autoRedefine/>
    <w:uiPriority w:val="98"/>
    <w:semiHidden/>
    <w:rsid w:val="006653D1"/>
    <w:pPr>
      <w:ind w:left="2160" w:hanging="240"/>
    </w:pPr>
  </w:style>
  <w:style w:type="paragraph" w:styleId="Titoloindice">
    <w:name w:val="index heading"/>
    <w:basedOn w:val="Normale"/>
    <w:next w:val="Indice1"/>
    <w:uiPriority w:val="98"/>
    <w:semiHidden/>
    <w:rsid w:val="006653D1"/>
    <w:rPr>
      <w:rFonts w:asciiTheme="majorHAnsi" w:eastAsiaTheme="majorEastAsia" w:hAnsiTheme="majorHAnsi" w:cstheme="majorBidi"/>
      <w:b/>
      <w:bCs/>
    </w:rPr>
  </w:style>
  <w:style w:type="table" w:styleId="Grigliachiara">
    <w:name w:val="Light Grid"/>
    <w:basedOn w:val="Tabellanormale"/>
    <w:uiPriority w:val="62"/>
    <w:semiHidden/>
    <w:rsid w:val="006653D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653D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653D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653D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653D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653D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653D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653D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653D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653D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653D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653D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653D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653D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653D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653D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653D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653D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653D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653D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653D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6653D1"/>
  </w:style>
  <w:style w:type="paragraph" w:styleId="Elenco">
    <w:name w:val="List"/>
    <w:basedOn w:val="Normale"/>
    <w:uiPriority w:val="98"/>
    <w:semiHidden/>
    <w:rsid w:val="006653D1"/>
    <w:pPr>
      <w:ind w:left="283" w:hanging="283"/>
      <w:contextualSpacing/>
    </w:pPr>
  </w:style>
  <w:style w:type="paragraph" w:styleId="Elenco2">
    <w:name w:val="List 2"/>
    <w:basedOn w:val="Normale"/>
    <w:uiPriority w:val="98"/>
    <w:semiHidden/>
    <w:rsid w:val="006653D1"/>
    <w:pPr>
      <w:ind w:left="566" w:hanging="283"/>
      <w:contextualSpacing/>
    </w:pPr>
  </w:style>
  <w:style w:type="paragraph" w:styleId="Elenco3">
    <w:name w:val="List 3"/>
    <w:basedOn w:val="Normale"/>
    <w:uiPriority w:val="98"/>
    <w:semiHidden/>
    <w:rsid w:val="006653D1"/>
    <w:pPr>
      <w:ind w:left="849" w:hanging="283"/>
      <w:contextualSpacing/>
    </w:pPr>
  </w:style>
  <w:style w:type="paragraph" w:styleId="Elenco4">
    <w:name w:val="List 4"/>
    <w:basedOn w:val="Normale"/>
    <w:uiPriority w:val="98"/>
    <w:semiHidden/>
    <w:rsid w:val="006653D1"/>
    <w:pPr>
      <w:ind w:left="1132" w:hanging="283"/>
      <w:contextualSpacing/>
    </w:pPr>
  </w:style>
  <w:style w:type="paragraph" w:styleId="Elenco5">
    <w:name w:val="List 5"/>
    <w:basedOn w:val="Normale"/>
    <w:uiPriority w:val="98"/>
    <w:semiHidden/>
    <w:rsid w:val="006653D1"/>
    <w:pPr>
      <w:ind w:left="1415" w:hanging="283"/>
      <w:contextualSpacing/>
    </w:pPr>
  </w:style>
  <w:style w:type="paragraph" w:styleId="Puntoelenco">
    <w:name w:val="List Bullet"/>
    <w:basedOn w:val="Normale"/>
    <w:uiPriority w:val="98"/>
    <w:semiHidden/>
    <w:rsid w:val="006653D1"/>
    <w:pPr>
      <w:numPr>
        <w:numId w:val="9"/>
      </w:numPr>
    </w:pPr>
  </w:style>
  <w:style w:type="paragraph" w:styleId="Puntoelenco3">
    <w:name w:val="List Bullet 3"/>
    <w:basedOn w:val="Normale"/>
    <w:uiPriority w:val="98"/>
    <w:semiHidden/>
    <w:rsid w:val="006653D1"/>
    <w:pPr>
      <w:numPr>
        <w:numId w:val="11"/>
      </w:numPr>
      <w:contextualSpacing/>
    </w:pPr>
  </w:style>
  <w:style w:type="paragraph" w:styleId="Puntoelenco4">
    <w:name w:val="List Bullet 4"/>
    <w:basedOn w:val="Normale"/>
    <w:uiPriority w:val="98"/>
    <w:semiHidden/>
    <w:rsid w:val="006653D1"/>
    <w:pPr>
      <w:numPr>
        <w:numId w:val="12"/>
      </w:numPr>
      <w:contextualSpacing/>
    </w:pPr>
  </w:style>
  <w:style w:type="paragraph" w:styleId="Puntoelenco5">
    <w:name w:val="List Bullet 5"/>
    <w:basedOn w:val="Normale"/>
    <w:uiPriority w:val="98"/>
    <w:semiHidden/>
    <w:rsid w:val="006653D1"/>
    <w:pPr>
      <w:numPr>
        <w:numId w:val="13"/>
      </w:numPr>
      <w:contextualSpacing/>
    </w:pPr>
  </w:style>
  <w:style w:type="paragraph" w:styleId="Elencocontinua">
    <w:name w:val="List Continue"/>
    <w:basedOn w:val="Normale"/>
    <w:uiPriority w:val="98"/>
    <w:semiHidden/>
    <w:rsid w:val="006653D1"/>
    <w:pPr>
      <w:spacing w:after="120"/>
      <w:ind w:left="283"/>
      <w:contextualSpacing/>
    </w:pPr>
  </w:style>
  <w:style w:type="paragraph" w:styleId="Elencocontinua2">
    <w:name w:val="List Continue 2"/>
    <w:basedOn w:val="Normale"/>
    <w:uiPriority w:val="98"/>
    <w:semiHidden/>
    <w:rsid w:val="006653D1"/>
    <w:pPr>
      <w:spacing w:after="120"/>
      <w:ind w:left="566"/>
      <w:contextualSpacing/>
    </w:pPr>
  </w:style>
  <w:style w:type="paragraph" w:styleId="Elencocontinua3">
    <w:name w:val="List Continue 3"/>
    <w:basedOn w:val="Normale"/>
    <w:uiPriority w:val="98"/>
    <w:semiHidden/>
    <w:rsid w:val="006653D1"/>
    <w:pPr>
      <w:spacing w:after="120"/>
      <w:ind w:left="849"/>
      <w:contextualSpacing/>
    </w:pPr>
  </w:style>
  <w:style w:type="paragraph" w:styleId="Elencocontinua4">
    <w:name w:val="List Continue 4"/>
    <w:basedOn w:val="Normale"/>
    <w:uiPriority w:val="98"/>
    <w:semiHidden/>
    <w:rsid w:val="006653D1"/>
    <w:pPr>
      <w:spacing w:after="120"/>
      <w:ind w:left="1132"/>
      <w:contextualSpacing/>
    </w:pPr>
  </w:style>
  <w:style w:type="paragraph" w:styleId="Elencocontinua5">
    <w:name w:val="List Continue 5"/>
    <w:basedOn w:val="Normale"/>
    <w:uiPriority w:val="98"/>
    <w:semiHidden/>
    <w:rsid w:val="006653D1"/>
    <w:pPr>
      <w:spacing w:after="120"/>
      <w:ind w:left="1415"/>
      <w:contextualSpacing/>
    </w:pPr>
  </w:style>
  <w:style w:type="paragraph" w:styleId="Numeroelenco">
    <w:name w:val="List Number"/>
    <w:basedOn w:val="Normale"/>
    <w:uiPriority w:val="98"/>
    <w:semiHidden/>
    <w:rsid w:val="006653D1"/>
    <w:pPr>
      <w:numPr>
        <w:numId w:val="14"/>
      </w:numPr>
      <w:contextualSpacing/>
    </w:pPr>
  </w:style>
  <w:style w:type="paragraph" w:styleId="Numeroelenco2">
    <w:name w:val="List Number 2"/>
    <w:basedOn w:val="Normale"/>
    <w:uiPriority w:val="98"/>
    <w:semiHidden/>
    <w:rsid w:val="006653D1"/>
    <w:pPr>
      <w:numPr>
        <w:numId w:val="15"/>
      </w:numPr>
      <w:contextualSpacing/>
    </w:pPr>
  </w:style>
  <w:style w:type="paragraph" w:styleId="Numeroelenco3">
    <w:name w:val="List Number 3"/>
    <w:basedOn w:val="Normale"/>
    <w:uiPriority w:val="98"/>
    <w:semiHidden/>
    <w:rsid w:val="006653D1"/>
    <w:pPr>
      <w:numPr>
        <w:numId w:val="16"/>
      </w:numPr>
      <w:contextualSpacing/>
    </w:pPr>
  </w:style>
  <w:style w:type="paragraph" w:styleId="Numeroelenco4">
    <w:name w:val="List Number 4"/>
    <w:basedOn w:val="Normale"/>
    <w:uiPriority w:val="98"/>
    <w:semiHidden/>
    <w:rsid w:val="006653D1"/>
    <w:pPr>
      <w:numPr>
        <w:numId w:val="17"/>
      </w:numPr>
      <w:contextualSpacing/>
    </w:pPr>
  </w:style>
  <w:style w:type="paragraph" w:styleId="Numeroelenco5">
    <w:name w:val="List Number 5"/>
    <w:basedOn w:val="Normale"/>
    <w:uiPriority w:val="98"/>
    <w:semiHidden/>
    <w:rsid w:val="006653D1"/>
    <w:pPr>
      <w:numPr>
        <w:numId w:val="18"/>
      </w:numPr>
      <w:contextualSpacing/>
    </w:pPr>
  </w:style>
  <w:style w:type="paragraph" w:styleId="Testomacro">
    <w:name w:val="macro"/>
    <w:link w:val="TestomacroCarattere"/>
    <w:uiPriority w:val="98"/>
    <w:semiHidden/>
    <w:rsid w:val="006653D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6653D1"/>
    <w:rPr>
      <w:rFonts w:ascii="Consolas" w:eastAsiaTheme="minorEastAsia" w:hAnsi="Consolas" w:cs="Consolas"/>
      <w:sz w:val="20"/>
      <w:szCs w:val="20"/>
    </w:rPr>
  </w:style>
  <w:style w:type="table" w:styleId="Grigliamedia1">
    <w:name w:val="Medium Grid 1"/>
    <w:basedOn w:val="Tabellanormale"/>
    <w:uiPriority w:val="67"/>
    <w:semiHidden/>
    <w:rsid w:val="006653D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653D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653D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653D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653D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653D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653D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653D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653D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653D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653D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653D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653D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653D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653D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653D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653D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653D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653D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653D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653D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653D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653D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653D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6653D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6653D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6653D1"/>
    <w:rPr>
      <w:rFonts w:ascii="Times New Roman" w:hAnsi="Times New Roman" w:cs="Times New Roman"/>
    </w:rPr>
  </w:style>
  <w:style w:type="paragraph" w:styleId="Rientronormale">
    <w:name w:val="Normal Indent"/>
    <w:basedOn w:val="Normale"/>
    <w:uiPriority w:val="98"/>
    <w:semiHidden/>
    <w:rsid w:val="006653D1"/>
    <w:pPr>
      <w:ind w:left="720"/>
    </w:pPr>
  </w:style>
  <w:style w:type="paragraph" w:styleId="Intestazionenota">
    <w:name w:val="Note Heading"/>
    <w:basedOn w:val="Normale"/>
    <w:next w:val="Normale"/>
    <w:link w:val="IntestazionenotaCarattere"/>
    <w:uiPriority w:val="98"/>
    <w:semiHidden/>
    <w:rsid w:val="006653D1"/>
  </w:style>
  <w:style w:type="character" w:customStyle="1" w:styleId="IntestazionenotaCarattere">
    <w:name w:val="Intestazione nota Carattere"/>
    <w:basedOn w:val="Carpredefinitoparagrafo"/>
    <w:link w:val="Intestazionenota"/>
    <w:uiPriority w:val="98"/>
    <w:semiHidden/>
    <w:rsid w:val="006653D1"/>
    <w:rPr>
      <w:sz w:val="24"/>
      <w:szCs w:val="24"/>
      <w:lang w:val="fr-FR"/>
    </w:rPr>
  </w:style>
  <w:style w:type="character" w:styleId="Testosegnaposto">
    <w:name w:val="Placeholder Text"/>
    <w:basedOn w:val="Carpredefinitoparagrafo"/>
    <w:uiPriority w:val="98"/>
    <w:semiHidden/>
    <w:rsid w:val="006653D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6653D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6653D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6653D1"/>
  </w:style>
  <w:style w:type="character" w:customStyle="1" w:styleId="FormuladiaperturaCarattere">
    <w:name w:val="Formula di apertura Carattere"/>
    <w:basedOn w:val="Carpredefinitoparagrafo"/>
    <w:link w:val="Formuladiapertura"/>
    <w:uiPriority w:val="98"/>
    <w:semiHidden/>
    <w:rsid w:val="006653D1"/>
    <w:rPr>
      <w:sz w:val="24"/>
      <w:szCs w:val="24"/>
      <w:lang w:val="fr-FR"/>
    </w:rPr>
  </w:style>
  <w:style w:type="paragraph" w:styleId="Firma">
    <w:name w:val="Signature"/>
    <w:basedOn w:val="Normale"/>
    <w:link w:val="FirmaCarattere"/>
    <w:uiPriority w:val="98"/>
    <w:semiHidden/>
    <w:rsid w:val="006653D1"/>
    <w:pPr>
      <w:ind w:left="4252"/>
    </w:pPr>
  </w:style>
  <w:style w:type="character" w:customStyle="1" w:styleId="FirmaCarattere">
    <w:name w:val="Firma Carattere"/>
    <w:basedOn w:val="Carpredefinitoparagrafo"/>
    <w:link w:val="Firma"/>
    <w:uiPriority w:val="98"/>
    <w:semiHidden/>
    <w:rsid w:val="006653D1"/>
    <w:rPr>
      <w:sz w:val="24"/>
      <w:szCs w:val="24"/>
      <w:lang w:val="fr-FR"/>
    </w:rPr>
  </w:style>
  <w:style w:type="table" w:styleId="Tabellaeffetti3D1">
    <w:name w:val="Table 3D effects 1"/>
    <w:basedOn w:val="Tabellanormale"/>
    <w:uiPriority w:val="99"/>
    <w:semiHidden/>
    <w:unhideWhenUsed/>
    <w:rsid w:val="006653D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653D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653D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653D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653D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653D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653D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653D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653D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653D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653D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653D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653D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653D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653D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653D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653D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653D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653D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653D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653D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653D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653D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653D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653D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653D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653D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653D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653D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653D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653D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653D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653D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6653D1"/>
    <w:pPr>
      <w:ind w:left="240" w:hanging="240"/>
    </w:pPr>
  </w:style>
  <w:style w:type="paragraph" w:styleId="Indicedellefigure">
    <w:name w:val="table of figures"/>
    <w:basedOn w:val="Normale"/>
    <w:next w:val="Normale"/>
    <w:uiPriority w:val="98"/>
    <w:semiHidden/>
    <w:rsid w:val="006653D1"/>
  </w:style>
  <w:style w:type="table" w:styleId="Tabellaprofessionale">
    <w:name w:val="Table Professional"/>
    <w:basedOn w:val="Tabellanormale"/>
    <w:uiPriority w:val="99"/>
    <w:semiHidden/>
    <w:unhideWhenUsed/>
    <w:rsid w:val="006653D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653D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653D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653D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653D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653D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653D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653D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653D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653D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6653D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6653D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6653D1"/>
    <w:pPr>
      <w:spacing w:after="100"/>
      <w:ind w:left="1680"/>
    </w:pPr>
  </w:style>
  <w:style w:type="paragraph" w:styleId="Sommario9">
    <w:name w:val="toc 9"/>
    <w:basedOn w:val="Normale"/>
    <w:next w:val="Normale"/>
    <w:autoRedefine/>
    <w:uiPriority w:val="98"/>
    <w:semiHidden/>
    <w:rsid w:val="006653D1"/>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6653D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6653D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6653D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6653D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6653D1"/>
    <w:pPr>
      <w:numPr>
        <w:numId w:val="6"/>
      </w:numPr>
      <w:spacing w:before="60" w:after="60"/>
    </w:pPr>
  </w:style>
  <w:style w:type="paragraph" w:customStyle="1" w:styleId="ECHRBullet2">
    <w:name w:val="ECHR_Bullet_2"/>
    <w:aliases w:val="_Bul_2"/>
    <w:basedOn w:val="ECHRBullet1"/>
    <w:uiPriority w:val="23"/>
    <w:semiHidden/>
    <w:rsid w:val="006653D1"/>
    <w:pPr>
      <w:numPr>
        <w:ilvl w:val="1"/>
      </w:numPr>
    </w:pPr>
  </w:style>
  <w:style w:type="paragraph" w:customStyle="1" w:styleId="ECHRBullet3">
    <w:name w:val="ECHR_Bullet_3"/>
    <w:aliases w:val="_Bul_3"/>
    <w:basedOn w:val="ECHRBullet2"/>
    <w:uiPriority w:val="23"/>
    <w:semiHidden/>
    <w:rsid w:val="006653D1"/>
    <w:pPr>
      <w:numPr>
        <w:ilvl w:val="2"/>
      </w:numPr>
    </w:pPr>
  </w:style>
  <w:style w:type="paragraph" w:customStyle="1" w:styleId="ECHRBullet4">
    <w:name w:val="ECHR_Bullet_4"/>
    <w:aliases w:val="_Bul_4"/>
    <w:basedOn w:val="ECHRBullet3"/>
    <w:uiPriority w:val="23"/>
    <w:semiHidden/>
    <w:rsid w:val="006653D1"/>
    <w:pPr>
      <w:numPr>
        <w:ilvl w:val="3"/>
      </w:numPr>
    </w:pPr>
  </w:style>
  <w:style w:type="paragraph" w:customStyle="1" w:styleId="ECHRConfidential">
    <w:name w:val="ECHR_Confidential"/>
    <w:aliases w:val="_Confidential"/>
    <w:basedOn w:val="Normale"/>
    <w:next w:val="Normale"/>
    <w:uiPriority w:val="42"/>
    <w:semiHidden/>
    <w:qFormat/>
    <w:rsid w:val="006653D1"/>
    <w:pPr>
      <w:jc w:val="right"/>
    </w:pPr>
    <w:rPr>
      <w:color w:val="C00000"/>
      <w:sz w:val="20"/>
    </w:rPr>
  </w:style>
  <w:style w:type="paragraph" w:customStyle="1" w:styleId="ECHRDecisionBody">
    <w:name w:val="ECHR_Decision_Body"/>
    <w:aliases w:val="_Decision_Body"/>
    <w:basedOn w:val="NormalJustified"/>
    <w:uiPriority w:val="54"/>
    <w:semiHidden/>
    <w:rsid w:val="006653D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6653D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6653D1"/>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6653D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6653D1"/>
    <w:pPr>
      <w:jc w:val="right"/>
    </w:pPr>
    <w:rPr>
      <w:sz w:val="20"/>
    </w:rPr>
  </w:style>
  <w:style w:type="paragraph" w:customStyle="1" w:styleId="ECHRHeaderRefIt">
    <w:name w:val="ECHR_Header_Ref_It"/>
    <w:aliases w:val="_Ref_Ital"/>
    <w:basedOn w:val="Normale"/>
    <w:next w:val="ECHRHeaderDate"/>
    <w:uiPriority w:val="43"/>
    <w:semiHidden/>
    <w:qFormat/>
    <w:rsid w:val="006653D1"/>
    <w:pPr>
      <w:jc w:val="right"/>
    </w:pPr>
    <w:rPr>
      <w:i/>
      <w:sz w:val="20"/>
    </w:rPr>
  </w:style>
  <w:style w:type="paragraph" w:customStyle="1" w:styleId="ECHRHeading9">
    <w:name w:val="ECHR_Heading_9"/>
    <w:aliases w:val="_Head_9"/>
    <w:basedOn w:val="Titolo9"/>
    <w:uiPriority w:val="17"/>
    <w:semiHidden/>
    <w:rsid w:val="006653D1"/>
    <w:pPr>
      <w:keepNext/>
      <w:keepLines/>
      <w:numPr>
        <w:ilvl w:val="8"/>
        <w:numId w:val="2"/>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6653D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6653D1"/>
    <w:pPr>
      <w:numPr>
        <w:numId w:val="8"/>
      </w:numPr>
      <w:spacing w:before="60" w:after="60"/>
    </w:pPr>
  </w:style>
  <w:style w:type="paragraph" w:customStyle="1" w:styleId="ECHRNumberedList2">
    <w:name w:val="ECHR_Numbered_List_2"/>
    <w:aliases w:val="_Num_2"/>
    <w:basedOn w:val="ECHRNumberedList1"/>
    <w:uiPriority w:val="23"/>
    <w:semiHidden/>
    <w:rsid w:val="006653D1"/>
    <w:pPr>
      <w:numPr>
        <w:ilvl w:val="1"/>
      </w:numPr>
    </w:pPr>
  </w:style>
  <w:style w:type="paragraph" w:customStyle="1" w:styleId="ECHRNumberedList3">
    <w:name w:val="ECHR_Numbered_List_3"/>
    <w:aliases w:val="_Num_3"/>
    <w:basedOn w:val="ECHRNumberedList2"/>
    <w:uiPriority w:val="23"/>
    <w:semiHidden/>
    <w:rsid w:val="006653D1"/>
    <w:pPr>
      <w:numPr>
        <w:ilvl w:val="2"/>
      </w:numPr>
    </w:pPr>
  </w:style>
  <w:style w:type="paragraph" w:customStyle="1" w:styleId="ECHRParaHanging">
    <w:name w:val="ECHR_Para_Hanging"/>
    <w:aliases w:val="_Hanging"/>
    <w:basedOn w:val="Normale"/>
    <w:uiPriority w:val="8"/>
    <w:semiHidden/>
    <w:qFormat/>
    <w:rsid w:val="006653D1"/>
    <w:pPr>
      <w:ind w:left="567" w:hanging="567"/>
      <w:jc w:val="both"/>
    </w:pPr>
  </w:style>
  <w:style w:type="paragraph" w:customStyle="1" w:styleId="ECHRParaIndent">
    <w:name w:val="ECHR_Para_Indent"/>
    <w:aliases w:val="_Indent"/>
    <w:basedOn w:val="Normale"/>
    <w:uiPriority w:val="7"/>
    <w:semiHidden/>
    <w:qFormat/>
    <w:rsid w:val="006653D1"/>
    <w:pPr>
      <w:spacing w:before="120" w:after="120"/>
      <w:ind w:left="567"/>
      <w:jc w:val="both"/>
    </w:pPr>
  </w:style>
  <w:style w:type="character" w:customStyle="1" w:styleId="ECHRRed">
    <w:name w:val="ECHR_Red"/>
    <w:aliases w:val="_Red"/>
    <w:basedOn w:val="Carpredefinitoparagrafo"/>
    <w:uiPriority w:val="15"/>
    <w:semiHidden/>
    <w:qFormat/>
    <w:rsid w:val="006653D1"/>
    <w:rPr>
      <w:color w:val="C00000" w:themeColor="accent2"/>
    </w:rPr>
  </w:style>
  <w:style w:type="paragraph" w:customStyle="1" w:styleId="DecList">
    <w:name w:val="Dec_List"/>
    <w:aliases w:val="_List"/>
    <w:basedOn w:val="JuList"/>
    <w:uiPriority w:val="22"/>
    <w:rsid w:val="006653D1"/>
    <w:pPr>
      <w:numPr>
        <w:numId w:val="0"/>
      </w:numPr>
      <w:ind w:left="284"/>
    </w:pPr>
  </w:style>
  <w:style w:type="table" w:customStyle="1" w:styleId="ECHRTable2">
    <w:name w:val="ECHR_Table_2"/>
    <w:basedOn w:val="Tabellanormale"/>
    <w:uiPriority w:val="99"/>
    <w:rsid w:val="006653D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6653D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6653D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6653D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6653D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6653D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6653D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6653D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6653D1"/>
    <w:pPr>
      <w:outlineLvl w:val="0"/>
    </w:pPr>
  </w:style>
  <w:style w:type="paragraph" w:customStyle="1" w:styleId="ECHRTitleTOC1">
    <w:name w:val="ECHR_Title_TOC_1"/>
    <w:aliases w:val="_Title_L_TOC"/>
    <w:basedOn w:val="ECHRTitle1"/>
    <w:next w:val="Normale"/>
    <w:uiPriority w:val="27"/>
    <w:semiHidden/>
    <w:qFormat/>
    <w:rsid w:val="006653D1"/>
    <w:pPr>
      <w:outlineLvl w:val="0"/>
    </w:pPr>
  </w:style>
  <w:style w:type="paragraph" w:customStyle="1" w:styleId="ECHRPlaceholder">
    <w:name w:val="ECHR_Placeholder"/>
    <w:aliases w:val="_Placeholder"/>
    <w:basedOn w:val="JuSigned"/>
    <w:uiPriority w:val="31"/>
    <w:rsid w:val="006653D1"/>
    <w:rPr>
      <w:color w:val="FFFFFF"/>
    </w:rPr>
  </w:style>
  <w:style w:type="paragraph" w:customStyle="1" w:styleId="ECHRSpacer">
    <w:name w:val="ECHR_Spacer"/>
    <w:aliases w:val="_Spacer"/>
    <w:basedOn w:val="Normale"/>
    <w:uiPriority w:val="45"/>
    <w:semiHidden/>
    <w:rsid w:val="006653D1"/>
    <w:rPr>
      <w:sz w:val="4"/>
    </w:rPr>
  </w:style>
  <w:style w:type="table" w:customStyle="1" w:styleId="ECHRTableGrey">
    <w:name w:val="ECHR_Table_Grey"/>
    <w:basedOn w:val="Tabellanormale"/>
    <w:uiPriority w:val="99"/>
    <w:rsid w:val="006653D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4F0A7A"/>
    <w:rPr>
      <w:sz w:val="24"/>
      <w:szCs w:val="24"/>
      <w:lang w:val="fr-FR"/>
    </w:rPr>
  </w:style>
  <w:style w:type="table" w:styleId="Tabellagriglia1chiara">
    <w:name w:val="Grid Table 1 Light"/>
    <w:basedOn w:val="Tabellanormale"/>
    <w:uiPriority w:val="46"/>
    <w:semiHidden/>
    <w:rsid w:val="007F7B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F7B5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7F7B5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F7B5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F7B5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F7B5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F7B5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F7B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F7B5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F7B5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F7B5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F7B5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F7B5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F7B5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F7B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F7B5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F7B5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F7B5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F7B5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F7B5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F7B5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F7B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F7B5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F7B5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F7B5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F7B5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F7B5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F7B5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F7B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F7B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F7B5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F7B5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F7B5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F7B5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F7B5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F7B5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F7B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F7B5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F7B5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F7B5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F7B5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F7B5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F7B5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F7B58"/>
    <w:rPr>
      <w:color w:val="2B579A"/>
      <w:shd w:val="clear" w:color="auto" w:fill="E1DFDD"/>
    </w:rPr>
  </w:style>
  <w:style w:type="table" w:styleId="Tabellaelenco1chiara">
    <w:name w:val="List Table 1 Light"/>
    <w:basedOn w:val="Tabellanormale"/>
    <w:uiPriority w:val="46"/>
    <w:semiHidden/>
    <w:rsid w:val="007F7B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F7B5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F7B5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F7B5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F7B5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F7B5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F7B5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F7B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F7B5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F7B5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F7B5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F7B5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F7B5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F7B5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F7B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F7B5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F7B5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F7B5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F7B5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F7B5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F7B5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F7B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F7B5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F7B5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F7B5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F7B5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F7B5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F7B5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F7B5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F7B5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F7B5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F7B5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F7B5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F7B5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F7B5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F7B5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F7B5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F7B5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F7B5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F7B5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F7B5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F7B5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F7B5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F7B5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F7B5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F7B5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F7B5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F7B5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F7B5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F7B58"/>
    <w:rPr>
      <w:color w:val="2B579A"/>
      <w:shd w:val="clear" w:color="auto" w:fill="E1DFDD"/>
    </w:rPr>
  </w:style>
  <w:style w:type="table" w:styleId="Tabellasemplice-1">
    <w:name w:val="Plain Table 1"/>
    <w:basedOn w:val="Tabellanormale"/>
    <w:uiPriority w:val="41"/>
    <w:semiHidden/>
    <w:rsid w:val="007F7B5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F7B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F7B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F7B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F7B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F7B58"/>
    <w:rPr>
      <w:u w:val="dotted"/>
    </w:rPr>
  </w:style>
  <w:style w:type="character" w:customStyle="1" w:styleId="SmartLink">
    <w:name w:val="Smart Link"/>
    <w:basedOn w:val="Carpredefinitoparagrafo"/>
    <w:uiPriority w:val="99"/>
    <w:semiHidden/>
    <w:unhideWhenUsed/>
    <w:rsid w:val="007F7B58"/>
    <w:rPr>
      <w:color w:val="0000FF"/>
      <w:u w:val="single"/>
      <w:shd w:val="clear" w:color="auto" w:fill="F3F2F1"/>
    </w:rPr>
  </w:style>
  <w:style w:type="table" w:styleId="Grigliatabellachiara">
    <w:name w:val="Grid Table Light"/>
    <w:basedOn w:val="Tabellanormale"/>
    <w:uiPriority w:val="40"/>
    <w:semiHidden/>
    <w:rsid w:val="007F7B5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7F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BE91-FA62-4189-9F27-80EFEBC558F5}">
  <ds:schemaRefs>
    <ds:schemaRef ds:uri="http://schemas.microsoft.com/sharepoint/v3/contenttype/forms"/>
  </ds:schemaRefs>
</ds:datastoreItem>
</file>

<file path=customXml/itemProps2.xml><?xml version="1.0" encoding="utf-8"?>
<ds:datastoreItem xmlns:ds="http://schemas.openxmlformats.org/officeDocument/2006/customXml" ds:itemID="{68FBDA4E-B2D7-4637-97A2-C1AB82C07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16C10E-D8C4-43A5-9A72-BCF2338C9F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58E82A-8698-4BA8-A504-0240A532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12394</Characters>
  <Application>Microsoft Office Word</Application>
  <DocSecurity>0</DocSecurity>
  <Lines>103</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2021-09-24T08:26:00Z</dcterms:created>
  <dcterms:modified xsi:type="dcterms:W3CDTF">2021-09-24T08:26:00Z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67024/13</vt:lpwstr>
  </property>
  <property fmtid="{D5CDD505-2E9C-101B-9397-08002B2CF9AE}" pid="4" name="CASEID">
    <vt:lpwstr>917770</vt:lpwstr>
  </property>
  <property fmtid="{D5CDD505-2E9C-101B-9397-08002B2CF9AE}" pid="5" name="ContentTypeId">
    <vt:lpwstr>0x010100558EB02BDB9E204AB350EDD385B68E10</vt:lpwstr>
  </property>
</Properties>
</file>